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84656" w14:textId="77777777" w:rsidR="00B055EB"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64</w:t>
      </w:r>
      <w:r>
        <w:rPr>
          <w:b/>
          <w:i/>
          <w:sz w:val="28"/>
        </w:rPr>
        <w:tab/>
        <w:t>S2-2</w:t>
      </w:r>
      <w:r>
        <w:rPr>
          <w:rFonts w:eastAsia="宋体" w:hint="eastAsia"/>
          <w:b/>
          <w:i/>
          <w:sz w:val="28"/>
          <w:lang w:val="en-US" w:eastAsia="zh-CN"/>
        </w:rPr>
        <w:t>407702</w:t>
      </w:r>
    </w:p>
    <w:p w14:paraId="24AF2F81" w14:textId="77777777" w:rsidR="00B055EB" w:rsidRDefault="00000000">
      <w:pPr>
        <w:pStyle w:val="CRCoverPage"/>
        <w:outlineLvl w:val="0"/>
        <w:rPr>
          <w:rFonts w:eastAsia="宋体"/>
          <w:b/>
          <w:sz w:val="24"/>
          <w:lang w:eastAsia="zh-CN"/>
        </w:rPr>
      </w:pPr>
      <w:r>
        <w:rPr>
          <w:rFonts w:hint="eastAsia"/>
          <w:b/>
          <w:sz w:val="24"/>
        </w:rPr>
        <w:t>Maastricht , Netherlands</w:t>
      </w:r>
      <w:r>
        <w:rPr>
          <w:b/>
          <w:sz w:val="24"/>
        </w:rPr>
        <w:t xml:space="preserve">, </w:t>
      </w:r>
      <w:r>
        <w:rPr>
          <w:rFonts w:eastAsia="宋体" w:cs="Arial" w:hint="eastAsia"/>
          <w:b/>
          <w:bCs/>
          <w:sz w:val="24"/>
          <w:lang w:val="en-US" w:eastAsia="zh-CN"/>
        </w:rPr>
        <w:t>August</w:t>
      </w:r>
      <w:r>
        <w:rPr>
          <w:rFonts w:eastAsia="Arial Unicode MS" w:cs="Arial"/>
          <w:b/>
          <w:bCs/>
          <w:sz w:val="24"/>
        </w:rPr>
        <w:t xml:space="preserve"> </w:t>
      </w:r>
      <w:r>
        <w:rPr>
          <w:rFonts w:eastAsia="宋体" w:cs="Arial" w:hint="eastAsia"/>
          <w:b/>
          <w:bCs/>
          <w:sz w:val="24"/>
          <w:lang w:val="en-US" w:eastAsia="zh-CN"/>
        </w:rPr>
        <w:t>19</w:t>
      </w:r>
      <w:r>
        <w:rPr>
          <w:rFonts w:eastAsia="Arial Unicode MS" w:cs="Arial"/>
          <w:b/>
          <w:bCs/>
          <w:sz w:val="24"/>
        </w:rPr>
        <w:t xml:space="preserve"> – </w:t>
      </w:r>
      <w:r>
        <w:rPr>
          <w:rFonts w:eastAsia="宋体" w:cs="Arial" w:hint="eastAsia"/>
          <w:b/>
          <w:bCs/>
          <w:sz w:val="24"/>
          <w:lang w:val="en-US" w:eastAsia="zh-CN"/>
        </w:rPr>
        <w:t>23</w:t>
      </w:r>
      <w:r>
        <w:rPr>
          <w:rFonts w:eastAsia="Arial Unicode MS" w:cs="Arial"/>
          <w:b/>
          <w:bCs/>
          <w:sz w:val="24"/>
        </w:rPr>
        <w:t>, 202</w:t>
      </w:r>
      <w:r>
        <w:rPr>
          <w:rFonts w:eastAsia="宋体" w:cs="Arial" w:hint="eastAsia"/>
          <w:b/>
          <w:bCs/>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55EB" w14:paraId="6E1148E9" w14:textId="77777777">
        <w:tc>
          <w:tcPr>
            <w:tcW w:w="9641" w:type="dxa"/>
            <w:gridSpan w:val="9"/>
            <w:tcBorders>
              <w:top w:val="single" w:sz="4" w:space="0" w:color="auto"/>
              <w:left w:val="single" w:sz="4" w:space="0" w:color="auto"/>
              <w:right w:val="single" w:sz="4" w:space="0" w:color="auto"/>
            </w:tcBorders>
          </w:tcPr>
          <w:p w14:paraId="6FBE2EAB" w14:textId="77777777" w:rsidR="00B055EB" w:rsidRDefault="00000000">
            <w:pPr>
              <w:pStyle w:val="CRCoverPage"/>
              <w:spacing w:after="0"/>
              <w:jc w:val="right"/>
              <w:rPr>
                <w:i/>
              </w:rPr>
            </w:pPr>
            <w:r>
              <w:rPr>
                <w:i/>
                <w:sz w:val="14"/>
              </w:rPr>
              <w:t>CR-Form-v12.2</w:t>
            </w:r>
          </w:p>
        </w:tc>
      </w:tr>
      <w:tr w:rsidR="00B055EB" w14:paraId="79DD90AF" w14:textId="77777777">
        <w:tc>
          <w:tcPr>
            <w:tcW w:w="9641" w:type="dxa"/>
            <w:gridSpan w:val="9"/>
            <w:tcBorders>
              <w:left w:val="single" w:sz="4" w:space="0" w:color="auto"/>
              <w:right w:val="single" w:sz="4" w:space="0" w:color="auto"/>
            </w:tcBorders>
          </w:tcPr>
          <w:p w14:paraId="2826F6FA" w14:textId="77777777" w:rsidR="00B055EB" w:rsidRDefault="00000000">
            <w:pPr>
              <w:pStyle w:val="CRCoverPage"/>
              <w:spacing w:after="0"/>
              <w:jc w:val="center"/>
            </w:pPr>
            <w:r>
              <w:rPr>
                <w:b/>
                <w:sz w:val="32"/>
              </w:rPr>
              <w:t>CHANGE REQUEST</w:t>
            </w:r>
          </w:p>
        </w:tc>
      </w:tr>
      <w:tr w:rsidR="00B055EB" w14:paraId="7DE70072" w14:textId="77777777">
        <w:tc>
          <w:tcPr>
            <w:tcW w:w="9641" w:type="dxa"/>
            <w:gridSpan w:val="9"/>
            <w:tcBorders>
              <w:left w:val="single" w:sz="4" w:space="0" w:color="auto"/>
              <w:right w:val="single" w:sz="4" w:space="0" w:color="auto"/>
            </w:tcBorders>
          </w:tcPr>
          <w:p w14:paraId="44048ECC" w14:textId="77777777" w:rsidR="00B055EB" w:rsidRDefault="00B055EB">
            <w:pPr>
              <w:pStyle w:val="CRCoverPage"/>
              <w:spacing w:after="0"/>
              <w:rPr>
                <w:sz w:val="8"/>
                <w:szCs w:val="8"/>
              </w:rPr>
            </w:pPr>
          </w:p>
        </w:tc>
      </w:tr>
      <w:tr w:rsidR="00B055EB" w14:paraId="3EB67EBD" w14:textId="77777777">
        <w:tc>
          <w:tcPr>
            <w:tcW w:w="142" w:type="dxa"/>
            <w:tcBorders>
              <w:left w:val="single" w:sz="4" w:space="0" w:color="auto"/>
            </w:tcBorders>
          </w:tcPr>
          <w:p w14:paraId="22091B8A" w14:textId="77777777" w:rsidR="00B055EB" w:rsidRDefault="00B055EB">
            <w:pPr>
              <w:pStyle w:val="CRCoverPage"/>
              <w:spacing w:after="0"/>
              <w:jc w:val="right"/>
            </w:pPr>
          </w:p>
        </w:tc>
        <w:tc>
          <w:tcPr>
            <w:tcW w:w="1559" w:type="dxa"/>
            <w:shd w:val="pct30" w:color="FFFF00" w:fill="auto"/>
          </w:tcPr>
          <w:p w14:paraId="52723601" w14:textId="77777777" w:rsidR="00B055EB"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14:paraId="028E9909" w14:textId="77777777" w:rsidR="00B055EB" w:rsidRDefault="00000000">
            <w:pPr>
              <w:pStyle w:val="CRCoverPage"/>
              <w:spacing w:after="0"/>
              <w:jc w:val="center"/>
            </w:pPr>
            <w:r>
              <w:rPr>
                <w:b/>
                <w:sz w:val="28"/>
              </w:rPr>
              <w:t>CR</w:t>
            </w:r>
          </w:p>
        </w:tc>
        <w:tc>
          <w:tcPr>
            <w:tcW w:w="1276" w:type="dxa"/>
            <w:shd w:val="pct30" w:color="FFFF00" w:fill="auto"/>
          </w:tcPr>
          <w:p w14:paraId="3391AB7D" w14:textId="77777777" w:rsidR="00B055EB" w:rsidRDefault="00000000">
            <w:pPr>
              <w:pStyle w:val="CRCoverPage"/>
              <w:spacing w:after="0"/>
              <w:jc w:val="center"/>
              <w:rPr>
                <w:rFonts w:eastAsia="宋体"/>
                <w:lang w:val="en-US" w:eastAsia="zh-CN"/>
              </w:rPr>
            </w:pPr>
            <w:r>
              <w:rPr>
                <w:rFonts w:hint="eastAsia"/>
                <w:b/>
                <w:sz w:val="28"/>
                <w:lang w:val="en-US" w:eastAsia="zh-CN"/>
              </w:rPr>
              <w:t>5444</w:t>
            </w:r>
          </w:p>
        </w:tc>
        <w:tc>
          <w:tcPr>
            <w:tcW w:w="709" w:type="dxa"/>
          </w:tcPr>
          <w:p w14:paraId="766C9D3F" w14:textId="77777777" w:rsidR="00B055EB" w:rsidRDefault="00000000">
            <w:pPr>
              <w:pStyle w:val="CRCoverPage"/>
              <w:tabs>
                <w:tab w:val="right" w:pos="625"/>
              </w:tabs>
              <w:spacing w:after="0"/>
              <w:jc w:val="center"/>
            </w:pPr>
            <w:r>
              <w:rPr>
                <w:b/>
                <w:bCs/>
                <w:sz w:val="28"/>
              </w:rPr>
              <w:t>rev</w:t>
            </w:r>
          </w:p>
        </w:tc>
        <w:tc>
          <w:tcPr>
            <w:tcW w:w="992" w:type="dxa"/>
            <w:shd w:val="pct30" w:color="FFFF00" w:fill="auto"/>
          </w:tcPr>
          <w:p w14:paraId="3FD96BA1" w14:textId="77777777" w:rsidR="00B055EB" w:rsidRDefault="00000000">
            <w:pPr>
              <w:pStyle w:val="CRCoverPage"/>
              <w:spacing w:after="0"/>
              <w:jc w:val="center"/>
              <w:rPr>
                <w:b/>
              </w:rPr>
            </w:pPr>
            <w:fldSimple w:instr=" DOCPROPERTY  Revision  \* MERGEFORMAT ">
              <w:r>
                <w:rPr>
                  <w:b/>
                  <w:sz w:val="28"/>
                </w:rPr>
                <w:t>-</w:t>
              </w:r>
            </w:fldSimple>
          </w:p>
        </w:tc>
        <w:tc>
          <w:tcPr>
            <w:tcW w:w="2410" w:type="dxa"/>
          </w:tcPr>
          <w:p w14:paraId="1302CF24" w14:textId="77777777" w:rsidR="00B055E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DD14EC6" w14:textId="77777777" w:rsidR="00B055EB" w:rsidRDefault="00000000">
            <w:pPr>
              <w:pStyle w:val="CRCoverPage"/>
              <w:spacing w:after="0"/>
              <w:jc w:val="center"/>
              <w:rPr>
                <w:sz w:val="28"/>
              </w:rPr>
            </w:pPr>
            <w:fldSimple w:instr=" DOCPROPERTY  Version  \* MERGEFORMAT ">
              <w:r>
                <w:rPr>
                  <w:b/>
                  <w:sz w:val="28"/>
                </w:rPr>
                <w:t>1</w:t>
              </w:r>
              <w:r>
                <w:rPr>
                  <w:rFonts w:eastAsia="宋体" w:hint="eastAsia"/>
                  <w:b/>
                  <w:sz w:val="28"/>
                  <w:lang w:val="en-US" w:eastAsia="zh-CN"/>
                </w:rPr>
                <w:t>9</w:t>
              </w:r>
              <w:r>
                <w:rPr>
                  <w:b/>
                  <w:sz w:val="28"/>
                </w:rPr>
                <w:t>.</w:t>
              </w:r>
              <w:r>
                <w:rPr>
                  <w:rFonts w:eastAsia="宋体" w:hint="eastAsia"/>
                  <w:b/>
                  <w:sz w:val="28"/>
                  <w:lang w:val="en-US" w:eastAsia="zh-CN"/>
                </w:rPr>
                <w:t>0</w:t>
              </w:r>
              <w:r>
                <w:rPr>
                  <w:b/>
                  <w:sz w:val="28"/>
                </w:rPr>
                <w:t>.</w:t>
              </w:r>
              <w:r>
                <w:rPr>
                  <w:rFonts w:eastAsia="宋体" w:hint="eastAsia"/>
                  <w:b/>
                  <w:sz w:val="28"/>
                  <w:lang w:val="en-US" w:eastAsia="zh-CN"/>
                </w:rPr>
                <w:t>0</w:t>
              </w:r>
            </w:fldSimple>
          </w:p>
        </w:tc>
        <w:tc>
          <w:tcPr>
            <w:tcW w:w="143" w:type="dxa"/>
            <w:tcBorders>
              <w:right w:val="single" w:sz="4" w:space="0" w:color="auto"/>
            </w:tcBorders>
          </w:tcPr>
          <w:p w14:paraId="11C7F2B3" w14:textId="77777777" w:rsidR="00B055EB" w:rsidRDefault="00B055EB">
            <w:pPr>
              <w:pStyle w:val="CRCoverPage"/>
              <w:spacing w:after="0"/>
            </w:pPr>
          </w:p>
        </w:tc>
      </w:tr>
      <w:tr w:rsidR="00B055EB" w14:paraId="11A3B663" w14:textId="77777777">
        <w:tc>
          <w:tcPr>
            <w:tcW w:w="9641" w:type="dxa"/>
            <w:gridSpan w:val="9"/>
            <w:tcBorders>
              <w:left w:val="single" w:sz="4" w:space="0" w:color="auto"/>
              <w:right w:val="single" w:sz="4" w:space="0" w:color="auto"/>
            </w:tcBorders>
          </w:tcPr>
          <w:p w14:paraId="7A28FDF6" w14:textId="77777777" w:rsidR="00B055EB" w:rsidRDefault="00B055EB">
            <w:pPr>
              <w:pStyle w:val="CRCoverPage"/>
              <w:spacing w:after="0"/>
            </w:pPr>
          </w:p>
        </w:tc>
      </w:tr>
      <w:tr w:rsidR="00B055EB" w14:paraId="0E8CC6FF" w14:textId="77777777">
        <w:tc>
          <w:tcPr>
            <w:tcW w:w="9641" w:type="dxa"/>
            <w:gridSpan w:val="9"/>
            <w:tcBorders>
              <w:top w:val="single" w:sz="4" w:space="0" w:color="auto"/>
            </w:tcBorders>
          </w:tcPr>
          <w:p w14:paraId="5098BCB8" w14:textId="77777777" w:rsidR="00B055EB"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B055EB" w14:paraId="22C4C265" w14:textId="77777777">
        <w:tc>
          <w:tcPr>
            <w:tcW w:w="9641" w:type="dxa"/>
            <w:gridSpan w:val="9"/>
          </w:tcPr>
          <w:p w14:paraId="49BAEA8B" w14:textId="77777777" w:rsidR="00B055EB" w:rsidRDefault="00B055EB">
            <w:pPr>
              <w:pStyle w:val="CRCoverPage"/>
              <w:spacing w:after="0"/>
              <w:rPr>
                <w:sz w:val="8"/>
                <w:szCs w:val="8"/>
              </w:rPr>
            </w:pPr>
          </w:p>
        </w:tc>
      </w:tr>
    </w:tbl>
    <w:p w14:paraId="716265BE" w14:textId="77777777" w:rsidR="00B055EB" w:rsidRDefault="00B055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55EB" w14:paraId="5117CAB5" w14:textId="77777777">
        <w:tc>
          <w:tcPr>
            <w:tcW w:w="2835" w:type="dxa"/>
          </w:tcPr>
          <w:p w14:paraId="66E62E0C" w14:textId="77777777" w:rsidR="00B055EB" w:rsidRDefault="00000000">
            <w:pPr>
              <w:pStyle w:val="CRCoverPage"/>
              <w:tabs>
                <w:tab w:val="right" w:pos="2751"/>
              </w:tabs>
              <w:spacing w:after="0"/>
              <w:rPr>
                <w:b/>
                <w:i/>
              </w:rPr>
            </w:pPr>
            <w:r>
              <w:rPr>
                <w:b/>
                <w:i/>
              </w:rPr>
              <w:t>Proposed change affects:</w:t>
            </w:r>
          </w:p>
        </w:tc>
        <w:tc>
          <w:tcPr>
            <w:tcW w:w="1418" w:type="dxa"/>
          </w:tcPr>
          <w:p w14:paraId="27815E4C" w14:textId="77777777" w:rsidR="00B055E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B5E94" w14:textId="77777777" w:rsidR="00B055EB" w:rsidRDefault="00B055EB">
            <w:pPr>
              <w:pStyle w:val="CRCoverPage"/>
              <w:spacing w:after="0"/>
              <w:jc w:val="center"/>
              <w:rPr>
                <w:b/>
                <w:caps/>
              </w:rPr>
            </w:pPr>
          </w:p>
        </w:tc>
        <w:tc>
          <w:tcPr>
            <w:tcW w:w="709" w:type="dxa"/>
            <w:tcBorders>
              <w:left w:val="single" w:sz="4" w:space="0" w:color="auto"/>
            </w:tcBorders>
          </w:tcPr>
          <w:p w14:paraId="34382CDB" w14:textId="77777777" w:rsidR="00B055E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DA645" w14:textId="174EA7BD" w:rsidR="00B055EB" w:rsidRDefault="00B055EB">
            <w:pPr>
              <w:pStyle w:val="CRCoverPage"/>
              <w:spacing w:after="0"/>
              <w:jc w:val="center"/>
              <w:rPr>
                <w:b/>
                <w:caps/>
              </w:rPr>
            </w:pPr>
          </w:p>
        </w:tc>
        <w:tc>
          <w:tcPr>
            <w:tcW w:w="2126" w:type="dxa"/>
          </w:tcPr>
          <w:p w14:paraId="0E80A7AB" w14:textId="77777777" w:rsidR="00B055E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D1599" w14:textId="0E10120C" w:rsidR="00B055EB" w:rsidRDefault="00954311">
            <w:pPr>
              <w:pStyle w:val="CRCoverPage"/>
              <w:spacing w:after="0"/>
              <w:jc w:val="center"/>
              <w:rPr>
                <w:b/>
                <w:caps/>
              </w:rPr>
            </w:pPr>
            <w:r>
              <w:rPr>
                <w:b/>
                <w:caps/>
              </w:rPr>
              <w:t>X</w:t>
            </w:r>
          </w:p>
        </w:tc>
        <w:tc>
          <w:tcPr>
            <w:tcW w:w="1418" w:type="dxa"/>
            <w:tcBorders>
              <w:left w:val="nil"/>
            </w:tcBorders>
          </w:tcPr>
          <w:p w14:paraId="23227D8E" w14:textId="77777777" w:rsidR="00B055E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76482" w14:textId="77777777" w:rsidR="00B055EB" w:rsidRDefault="00000000">
            <w:pPr>
              <w:pStyle w:val="CRCoverPage"/>
              <w:spacing w:after="0"/>
              <w:jc w:val="center"/>
              <w:rPr>
                <w:b/>
                <w:bCs/>
                <w:caps/>
              </w:rPr>
            </w:pPr>
            <w:r>
              <w:rPr>
                <w:b/>
                <w:caps/>
              </w:rPr>
              <w:t>X</w:t>
            </w:r>
          </w:p>
        </w:tc>
      </w:tr>
    </w:tbl>
    <w:p w14:paraId="18C868C8" w14:textId="77777777" w:rsidR="00B055EB" w:rsidRDefault="00B055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55EB" w14:paraId="55947BF9" w14:textId="77777777">
        <w:tc>
          <w:tcPr>
            <w:tcW w:w="9640" w:type="dxa"/>
            <w:gridSpan w:val="11"/>
          </w:tcPr>
          <w:p w14:paraId="5B689121" w14:textId="77777777" w:rsidR="00B055EB" w:rsidRDefault="00B055EB">
            <w:pPr>
              <w:pStyle w:val="CRCoverPage"/>
              <w:spacing w:after="0"/>
              <w:rPr>
                <w:sz w:val="8"/>
                <w:szCs w:val="8"/>
              </w:rPr>
            </w:pPr>
          </w:p>
        </w:tc>
      </w:tr>
      <w:tr w:rsidR="00B055EB" w14:paraId="11BA6043" w14:textId="77777777">
        <w:tc>
          <w:tcPr>
            <w:tcW w:w="1843" w:type="dxa"/>
            <w:tcBorders>
              <w:top w:val="single" w:sz="4" w:space="0" w:color="auto"/>
              <w:left w:val="single" w:sz="4" w:space="0" w:color="auto"/>
            </w:tcBorders>
          </w:tcPr>
          <w:p w14:paraId="3C64E942" w14:textId="77777777" w:rsidR="00B055E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554EBD" w14:textId="77777777" w:rsidR="00B055EB" w:rsidRDefault="00000000">
            <w:pPr>
              <w:pStyle w:val="CRCoverPage"/>
              <w:spacing w:after="0"/>
              <w:ind w:left="100"/>
              <w:rPr>
                <w:rFonts w:eastAsia="宋体"/>
                <w:lang w:val="en-US" w:eastAsia="zh-CN"/>
              </w:rPr>
            </w:pPr>
            <w:r>
              <w:rPr>
                <w:rFonts w:eastAsia="宋体" w:hint="eastAsia"/>
                <w:lang w:val="en-US" w:eastAsia="zh-CN"/>
              </w:rPr>
              <w:t>Enhancements on provision of dynamic change in traffic characteristics</w:t>
            </w:r>
          </w:p>
        </w:tc>
      </w:tr>
      <w:tr w:rsidR="00B055EB" w14:paraId="110A9B70" w14:textId="77777777">
        <w:tc>
          <w:tcPr>
            <w:tcW w:w="1843" w:type="dxa"/>
            <w:tcBorders>
              <w:left w:val="single" w:sz="4" w:space="0" w:color="auto"/>
            </w:tcBorders>
          </w:tcPr>
          <w:p w14:paraId="360B9546" w14:textId="77777777" w:rsidR="00B055EB" w:rsidRDefault="00B055EB">
            <w:pPr>
              <w:pStyle w:val="CRCoverPage"/>
              <w:spacing w:after="0"/>
              <w:rPr>
                <w:b/>
                <w:i/>
                <w:sz w:val="8"/>
                <w:szCs w:val="8"/>
              </w:rPr>
            </w:pPr>
          </w:p>
        </w:tc>
        <w:tc>
          <w:tcPr>
            <w:tcW w:w="7797" w:type="dxa"/>
            <w:gridSpan w:val="10"/>
            <w:tcBorders>
              <w:right w:val="single" w:sz="4" w:space="0" w:color="auto"/>
            </w:tcBorders>
          </w:tcPr>
          <w:p w14:paraId="756A7B56" w14:textId="77777777" w:rsidR="00B055EB" w:rsidRDefault="00B055EB">
            <w:pPr>
              <w:pStyle w:val="CRCoverPage"/>
              <w:spacing w:after="0"/>
              <w:rPr>
                <w:sz w:val="8"/>
                <w:szCs w:val="8"/>
              </w:rPr>
            </w:pPr>
          </w:p>
        </w:tc>
      </w:tr>
      <w:tr w:rsidR="00B055EB" w14:paraId="73CD2A0C" w14:textId="77777777">
        <w:tc>
          <w:tcPr>
            <w:tcW w:w="1843" w:type="dxa"/>
            <w:tcBorders>
              <w:left w:val="single" w:sz="4" w:space="0" w:color="auto"/>
            </w:tcBorders>
          </w:tcPr>
          <w:p w14:paraId="5EF9E1A4" w14:textId="77777777" w:rsidR="00B055E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523522" w14:textId="77777777" w:rsidR="00B055EB" w:rsidRDefault="00000000">
            <w:pPr>
              <w:pStyle w:val="CRCoverPage"/>
              <w:spacing w:after="0"/>
              <w:ind w:left="100"/>
              <w:rPr>
                <w:rFonts w:eastAsia="宋体"/>
                <w:lang w:val="en-US" w:eastAsia="zh-CN"/>
              </w:rPr>
            </w:pPr>
            <w:r>
              <w:rPr>
                <w:rFonts w:eastAsia="宋体" w:hint="eastAsia"/>
                <w:lang w:val="en-US" w:eastAsia="zh-CN"/>
              </w:rPr>
              <w:t>China Mobile</w:t>
            </w:r>
          </w:p>
        </w:tc>
      </w:tr>
      <w:tr w:rsidR="00B055EB" w14:paraId="54324AD2" w14:textId="77777777">
        <w:tc>
          <w:tcPr>
            <w:tcW w:w="1843" w:type="dxa"/>
            <w:tcBorders>
              <w:left w:val="single" w:sz="4" w:space="0" w:color="auto"/>
            </w:tcBorders>
          </w:tcPr>
          <w:p w14:paraId="20D30041" w14:textId="77777777" w:rsidR="00B055E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BD74AF" w14:textId="77777777" w:rsidR="00B055EB" w:rsidRDefault="00000000">
            <w:pPr>
              <w:pStyle w:val="CRCoverPage"/>
              <w:spacing w:after="0"/>
              <w:ind w:left="100"/>
            </w:pPr>
            <w:r>
              <w:t>SA2</w:t>
            </w:r>
            <w:r>
              <w:fldChar w:fldCharType="begin"/>
            </w:r>
            <w:r>
              <w:instrText xml:space="preserve"> DOCPROPERTY  SourceIfTsg  \* MERGEFORMAT </w:instrText>
            </w:r>
            <w:r>
              <w:fldChar w:fldCharType="end"/>
            </w:r>
          </w:p>
        </w:tc>
      </w:tr>
      <w:tr w:rsidR="00B055EB" w14:paraId="31064530" w14:textId="77777777">
        <w:tc>
          <w:tcPr>
            <w:tcW w:w="1843" w:type="dxa"/>
            <w:tcBorders>
              <w:left w:val="single" w:sz="4" w:space="0" w:color="auto"/>
            </w:tcBorders>
          </w:tcPr>
          <w:p w14:paraId="286D2DB0" w14:textId="77777777" w:rsidR="00B055EB" w:rsidRDefault="00B055EB">
            <w:pPr>
              <w:pStyle w:val="CRCoverPage"/>
              <w:spacing w:after="0"/>
              <w:rPr>
                <w:b/>
                <w:i/>
                <w:sz w:val="8"/>
                <w:szCs w:val="8"/>
              </w:rPr>
            </w:pPr>
          </w:p>
        </w:tc>
        <w:tc>
          <w:tcPr>
            <w:tcW w:w="7797" w:type="dxa"/>
            <w:gridSpan w:val="10"/>
            <w:tcBorders>
              <w:right w:val="single" w:sz="4" w:space="0" w:color="auto"/>
            </w:tcBorders>
          </w:tcPr>
          <w:p w14:paraId="7F7E72C7" w14:textId="77777777" w:rsidR="00B055EB" w:rsidRDefault="00B055EB">
            <w:pPr>
              <w:pStyle w:val="CRCoverPage"/>
              <w:spacing w:after="0"/>
              <w:rPr>
                <w:sz w:val="8"/>
                <w:szCs w:val="8"/>
              </w:rPr>
            </w:pPr>
          </w:p>
        </w:tc>
      </w:tr>
      <w:tr w:rsidR="00B055EB" w14:paraId="365E7579" w14:textId="77777777">
        <w:tc>
          <w:tcPr>
            <w:tcW w:w="1843" w:type="dxa"/>
            <w:tcBorders>
              <w:left w:val="single" w:sz="4" w:space="0" w:color="auto"/>
            </w:tcBorders>
          </w:tcPr>
          <w:p w14:paraId="589916E1" w14:textId="77777777" w:rsidR="00B055EB" w:rsidRDefault="00000000">
            <w:pPr>
              <w:pStyle w:val="CRCoverPage"/>
              <w:tabs>
                <w:tab w:val="right" w:pos="1759"/>
              </w:tabs>
              <w:spacing w:after="0"/>
              <w:rPr>
                <w:b/>
                <w:i/>
              </w:rPr>
            </w:pPr>
            <w:r>
              <w:rPr>
                <w:b/>
                <w:i/>
              </w:rPr>
              <w:t>Work item code:</w:t>
            </w:r>
          </w:p>
        </w:tc>
        <w:tc>
          <w:tcPr>
            <w:tcW w:w="3686" w:type="dxa"/>
            <w:gridSpan w:val="5"/>
            <w:shd w:val="pct30" w:color="FFFF00" w:fill="auto"/>
          </w:tcPr>
          <w:p w14:paraId="040FAAC8" w14:textId="77777777" w:rsidR="00B055EB" w:rsidRDefault="00000000">
            <w:pPr>
              <w:pStyle w:val="CRCoverPage"/>
              <w:spacing w:after="0"/>
              <w:ind w:left="100"/>
            </w:pPr>
            <w:fldSimple w:instr=" DOCPROPERTY  RelatedWis  \* MERGEFORMAT ">
              <w:r>
                <w:t>XRM</w:t>
              </w:r>
            </w:fldSimple>
          </w:p>
        </w:tc>
        <w:tc>
          <w:tcPr>
            <w:tcW w:w="567" w:type="dxa"/>
            <w:tcBorders>
              <w:left w:val="nil"/>
            </w:tcBorders>
          </w:tcPr>
          <w:p w14:paraId="6817637D" w14:textId="77777777" w:rsidR="00B055EB" w:rsidRDefault="00B055EB">
            <w:pPr>
              <w:pStyle w:val="CRCoverPage"/>
              <w:spacing w:after="0"/>
              <w:ind w:right="100"/>
            </w:pPr>
          </w:p>
        </w:tc>
        <w:tc>
          <w:tcPr>
            <w:tcW w:w="1417" w:type="dxa"/>
            <w:gridSpan w:val="3"/>
            <w:tcBorders>
              <w:left w:val="nil"/>
            </w:tcBorders>
          </w:tcPr>
          <w:p w14:paraId="6450B263" w14:textId="77777777" w:rsidR="00B055EB" w:rsidRDefault="00000000">
            <w:pPr>
              <w:pStyle w:val="CRCoverPage"/>
              <w:spacing w:after="0"/>
              <w:jc w:val="right"/>
            </w:pPr>
            <w:r>
              <w:rPr>
                <w:b/>
                <w:i/>
              </w:rPr>
              <w:t>Date:</w:t>
            </w:r>
          </w:p>
        </w:tc>
        <w:tc>
          <w:tcPr>
            <w:tcW w:w="2127" w:type="dxa"/>
            <w:tcBorders>
              <w:right w:val="single" w:sz="4" w:space="0" w:color="auto"/>
            </w:tcBorders>
            <w:shd w:val="pct30" w:color="FFFF00" w:fill="auto"/>
          </w:tcPr>
          <w:p w14:paraId="06D86319" w14:textId="77777777" w:rsidR="00B055EB"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4</w:t>
              </w:r>
              <w:r>
                <w:t>-</w:t>
              </w:r>
              <w:r>
                <w:rPr>
                  <w:rFonts w:eastAsia="宋体" w:hint="eastAsia"/>
                  <w:lang w:val="en-US" w:eastAsia="zh-CN"/>
                </w:rPr>
                <w:t>08-</w:t>
              </w:r>
            </w:fldSimple>
            <w:r>
              <w:rPr>
                <w:rFonts w:eastAsia="宋体" w:hint="eastAsia"/>
                <w:lang w:val="en-US" w:eastAsia="zh-CN"/>
              </w:rPr>
              <w:t>09</w:t>
            </w:r>
          </w:p>
        </w:tc>
      </w:tr>
      <w:tr w:rsidR="00B055EB" w14:paraId="6DFDDFD7" w14:textId="77777777">
        <w:tc>
          <w:tcPr>
            <w:tcW w:w="1843" w:type="dxa"/>
            <w:tcBorders>
              <w:left w:val="single" w:sz="4" w:space="0" w:color="auto"/>
            </w:tcBorders>
          </w:tcPr>
          <w:p w14:paraId="60CD700E" w14:textId="77777777" w:rsidR="00B055EB" w:rsidRDefault="00B055EB">
            <w:pPr>
              <w:pStyle w:val="CRCoverPage"/>
              <w:spacing w:after="0"/>
              <w:rPr>
                <w:b/>
                <w:i/>
                <w:sz w:val="8"/>
                <w:szCs w:val="8"/>
              </w:rPr>
            </w:pPr>
          </w:p>
        </w:tc>
        <w:tc>
          <w:tcPr>
            <w:tcW w:w="1986" w:type="dxa"/>
            <w:gridSpan w:val="4"/>
          </w:tcPr>
          <w:p w14:paraId="4450C5C4" w14:textId="77777777" w:rsidR="00B055EB" w:rsidRDefault="00B055EB">
            <w:pPr>
              <w:pStyle w:val="CRCoverPage"/>
              <w:spacing w:after="0"/>
              <w:rPr>
                <w:sz w:val="8"/>
                <w:szCs w:val="8"/>
              </w:rPr>
            </w:pPr>
          </w:p>
        </w:tc>
        <w:tc>
          <w:tcPr>
            <w:tcW w:w="2267" w:type="dxa"/>
            <w:gridSpan w:val="2"/>
          </w:tcPr>
          <w:p w14:paraId="69BFD3A1" w14:textId="77777777" w:rsidR="00B055EB" w:rsidRDefault="00B055EB">
            <w:pPr>
              <w:pStyle w:val="CRCoverPage"/>
              <w:spacing w:after="0"/>
              <w:rPr>
                <w:sz w:val="8"/>
                <w:szCs w:val="8"/>
              </w:rPr>
            </w:pPr>
          </w:p>
        </w:tc>
        <w:tc>
          <w:tcPr>
            <w:tcW w:w="1417" w:type="dxa"/>
            <w:gridSpan w:val="3"/>
          </w:tcPr>
          <w:p w14:paraId="7F26C91C" w14:textId="77777777" w:rsidR="00B055EB" w:rsidRDefault="00B055EB">
            <w:pPr>
              <w:pStyle w:val="CRCoverPage"/>
              <w:spacing w:after="0"/>
              <w:rPr>
                <w:sz w:val="8"/>
                <w:szCs w:val="8"/>
              </w:rPr>
            </w:pPr>
          </w:p>
        </w:tc>
        <w:tc>
          <w:tcPr>
            <w:tcW w:w="2127" w:type="dxa"/>
            <w:tcBorders>
              <w:right w:val="single" w:sz="4" w:space="0" w:color="auto"/>
            </w:tcBorders>
          </w:tcPr>
          <w:p w14:paraId="0DFE4085" w14:textId="77777777" w:rsidR="00B055EB" w:rsidRDefault="00B055EB">
            <w:pPr>
              <w:pStyle w:val="CRCoverPage"/>
              <w:spacing w:after="0"/>
              <w:rPr>
                <w:sz w:val="8"/>
                <w:szCs w:val="8"/>
              </w:rPr>
            </w:pPr>
          </w:p>
        </w:tc>
      </w:tr>
      <w:tr w:rsidR="00B055EB" w14:paraId="436E810E" w14:textId="77777777">
        <w:trPr>
          <w:cantSplit/>
        </w:trPr>
        <w:tc>
          <w:tcPr>
            <w:tcW w:w="1843" w:type="dxa"/>
            <w:tcBorders>
              <w:left w:val="single" w:sz="4" w:space="0" w:color="auto"/>
            </w:tcBorders>
          </w:tcPr>
          <w:p w14:paraId="3F813DC8" w14:textId="77777777" w:rsidR="00B055EB" w:rsidRDefault="00000000">
            <w:pPr>
              <w:pStyle w:val="CRCoverPage"/>
              <w:tabs>
                <w:tab w:val="right" w:pos="1759"/>
              </w:tabs>
              <w:spacing w:after="0"/>
              <w:rPr>
                <w:b/>
                <w:i/>
              </w:rPr>
            </w:pPr>
            <w:r>
              <w:rPr>
                <w:b/>
                <w:i/>
              </w:rPr>
              <w:t>Category:</w:t>
            </w:r>
          </w:p>
        </w:tc>
        <w:tc>
          <w:tcPr>
            <w:tcW w:w="851" w:type="dxa"/>
            <w:shd w:val="pct30" w:color="FFFF00" w:fill="auto"/>
          </w:tcPr>
          <w:p w14:paraId="5C2BF31A" w14:textId="77777777" w:rsidR="00B055EB" w:rsidRDefault="0000000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1D1A174C" w14:textId="77777777" w:rsidR="00B055EB" w:rsidRDefault="00B055EB">
            <w:pPr>
              <w:pStyle w:val="CRCoverPage"/>
              <w:spacing w:after="0"/>
            </w:pPr>
          </w:p>
        </w:tc>
        <w:tc>
          <w:tcPr>
            <w:tcW w:w="1417" w:type="dxa"/>
            <w:gridSpan w:val="3"/>
            <w:tcBorders>
              <w:left w:val="nil"/>
            </w:tcBorders>
          </w:tcPr>
          <w:p w14:paraId="0CFC72D6" w14:textId="77777777" w:rsidR="00B055E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BCE465F" w14:textId="77777777" w:rsidR="00B055EB" w:rsidRDefault="00000000">
            <w:pPr>
              <w:pStyle w:val="CRCoverPage"/>
              <w:spacing w:after="0"/>
              <w:ind w:left="100"/>
            </w:pPr>
            <w:fldSimple w:instr=" DOCPROPERTY  Release  \* MERGEFORMAT ">
              <w:r>
                <w:t>Rel-1</w:t>
              </w:r>
              <w:r>
                <w:rPr>
                  <w:rFonts w:eastAsia="宋体" w:hint="eastAsia"/>
                  <w:lang w:val="en-US" w:eastAsia="zh-CN"/>
                </w:rPr>
                <w:t>9</w:t>
              </w:r>
            </w:fldSimple>
          </w:p>
        </w:tc>
      </w:tr>
      <w:tr w:rsidR="00B055EB" w14:paraId="5331C086" w14:textId="77777777">
        <w:tc>
          <w:tcPr>
            <w:tcW w:w="1843" w:type="dxa"/>
            <w:tcBorders>
              <w:left w:val="single" w:sz="4" w:space="0" w:color="auto"/>
              <w:bottom w:val="single" w:sz="4" w:space="0" w:color="auto"/>
            </w:tcBorders>
          </w:tcPr>
          <w:p w14:paraId="0159C810" w14:textId="77777777" w:rsidR="00B055EB" w:rsidRDefault="00B055EB">
            <w:pPr>
              <w:pStyle w:val="CRCoverPage"/>
              <w:spacing w:after="0"/>
              <w:rPr>
                <w:b/>
                <w:i/>
              </w:rPr>
            </w:pPr>
          </w:p>
        </w:tc>
        <w:tc>
          <w:tcPr>
            <w:tcW w:w="4677" w:type="dxa"/>
            <w:gridSpan w:val="8"/>
            <w:tcBorders>
              <w:bottom w:val="single" w:sz="4" w:space="0" w:color="auto"/>
            </w:tcBorders>
          </w:tcPr>
          <w:p w14:paraId="6C5CB659" w14:textId="77777777" w:rsidR="00B055E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CC5870" w14:textId="77777777" w:rsidR="00B055EB"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969997B" w14:textId="77777777" w:rsidR="00B055E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55EB" w14:paraId="4C4C00BF" w14:textId="77777777">
        <w:tc>
          <w:tcPr>
            <w:tcW w:w="1843" w:type="dxa"/>
          </w:tcPr>
          <w:p w14:paraId="36B3C167" w14:textId="77777777" w:rsidR="00B055EB" w:rsidRDefault="00B055EB">
            <w:pPr>
              <w:pStyle w:val="CRCoverPage"/>
              <w:spacing w:after="0"/>
              <w:rPr>
                <w:b/>
                <w:i/>
                <w:sz w:val="8"/>
                <w:szCs w:val="8"/>
              </w:rPr>
            </w:pPr>
          </w:p>
        </w:tc>
        <w:tc>
          <w:tcPr>
            <w:tcW w:w="7797" w:type="dxa"/>
            <w:gridSpan w:val="10"/>
          </w:tcPr>
          <w:p w14:paraId="290F5566" w14:textId="77777777" w:rsidR="00B055EB" w:rsidRDefault="00B055EB">
            <w:pPr>
              <w:pStyle w:val="CRCoverPage"/>
              <w:spacing w:after="0"/>
              <w:rPr>
                <w:sz w:val="8"/>
                <w:szCs w:val="8"/>
              </w:rPr>
            </w:pPr>
          </w:p>
        </w:tc>
      </w:tr>
      <w:tr w:rsidR="00B055EB" w14:paraId="1DEE0E8F" w14:textId="77777777">
        <w:trPr>
          <w:trHeight w:val="682"/>
        </w:trPr>
        <w:tc>
          <w:tcPr>
            <w:tcW w:w="2694" w:type="dxa"/>
            <w:gridSpan w:val="2"/>
            <w:tcBorders>
              <w:top w:val="single" w:sz="4" w:space="0" w:color="auto"/>
              <w:left w:val="single" w:sz="4" w:space="0" w:color="auto"/>
            </w:tcBorders>
          </w:tcPr>
          <w:p w14:paraId="1AC57F4C" w14:textId="77777777" w:rsidR="00B055E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B14D45" w14:textId="393EDF0D" w:rsidR="00B055EB" w:rsidRDefault="00631EE3">
            <w:pPr>
              <w:pStyle w:val="CRCoverPage"/>
              <w:spacing w:after="0"/>
              <w:ind w:left="100"/>
              <w:rPr>
                <w:lang w:val="en-US" w:eastAsia="zh-CN"/>
              </w:rPr>
            </w:pPr>
            <w:r>
              <w:rPr>
                <w:lang w:val="en-US" w:eastAsia="zh-CN"/>
              </w:rPr>
              <w:t>In TR 23.700-70</w:t>
            </w:r>
            <w:r w:rsidR="00000000">
              <w:rPr>
                <w:rFonts w:hint="eastAsia"/>
                <w:lang w:val="en-US" w:eastAsia="zh-CN"/>
              </w:rPr>
              <w:t xml:space="preserve"> conclusion </w:t>
            </w:r>
            <w:r>
              <w:rPr>
                <w:lang w:val="en-US" w:eastAsia="zh-CN"/>
              </w:rPr>
              <w:t>of</w:t>
            </w:r>
            <w:r w:rsidR="00000000">
              <w:rPr>
                <w:rFonts w:hint="eastAsia"/>
                <w:lang w:val="en-US" w:eastAsia="zh-CN"/>
              </w:rPr>
              <w:t xml:space="preserve"> KI#5</w:t>
            </w:r>
            <w:r>
              <w:rPr>
                <w:lang w:val="en-US" w:eastAsia="zh-CN"/>
              </w:rPr>
              <w:t>, it</w:t>
            </w:r>
            <w:r w:rsidR="00000000">
              <w:rPr>
                <w:rFonts w:hint="eastAsia"/>
                <w:lang w:val="en-US" w:eastAsia="zh-CN"/>
              </w:rPr>
              <w:t xml:space="preserve"> agrees that the traffic characteristics information changed dynamically (e.g. Burst size) can be provided to the NG-RAN for DL resource scheduling. The related mechanism should be </w:t>
            </w:r>
            <w:r>
              <w:rPr>
                <w:lang w:val="en-US" w:eastAsia="zh-CN"/>
              </w:rPr>
              <w:t>described</w:t>
            </w:r>
            <w:r w:rsidR="00000000">
              <w:rPr>
                <w:rFonts w:hint="eastAsia"/>
                <w:lang w:val="en-US" w:eastAsia="zh-CN"/>
              </w:rPr>
              <w:t xml:space="preserve"> in TS 23.501 for the normative work.</w:t>
            </w:r>
          </w:p>
        </w:tc>
      </w:tr>
      <w:tr w:rsidR="00B055EB" w14:paraId="32FAF31F" w14:textId="77777777">
        <w:tc>
          <w:tcPr>
            <w:tcW w:w="2694" w:type="dxa"/>
            <w:gridSpan w:val="2"/>
            <w:tcBorders>
              <w:left w:val="single" w:sz="4" w:space="0" w:color="auto"/>
            </w:tcBorders>
          </w:tcPr>
          <w:p w14:paraId="50B14A28" w14:textId="77777777" w:rsidR="00B055EB" w:rsidRDefault="00B055EB">
            <w:pPr>
              <w:pStyle w:val="CRCoverPage"/>
              <w:spacing w:after="0"/>
              <w:rPr>
                <w:b/>
                <w:i/>
                <w:sz w:val="8"/>
                <w:szCs w:val="8"/>
              </w:rPr>
            </w:pPr>
          </w:p>
        </w:tc>
        <w:tc>
          <w:tcPr>
            <w:tcW w:w="6946" w:type="dxa"/>
            <w:gridSpan w:val="9"/>
            <w:tcBorders>
              <w:right w:val="single" w:sz="4" w:space="0" w:color="auto"/>
            </w:tcBorders>
          </w:tcPr>
          <w:p w14:paraId="3C76C1F0" w14:textId="77777777" w:rsidR="00B055EB" w:rsidRDefault="00B055EB">
            <w:pPr>
              <w:pStyle w:val="CRCoverPage"/>
              <w:spacing w:after="0"/>
              <w:rPr>
                <w:sz w:val="8"/>
                <w:szCs w:val="8"/>
              </w:rPr>
            </w:pPr>
          </w:p>
        </w:tc>
      </w:tr>
      <w:tr w:rsidR="00B055EB" w14:paraId="4313A786" w14:textId="77777777">
        <w:tc>
          <w:tcPr>
            <w:tcW w:w="2694" w:type="dxa"/>
            <w:gridSpan w:val="2"/>
            <w:tcBorders>
              <w:left w:val="single" w:sz="4" w:space="0" w:color="auto"/>
            </w:tcBorders>
          </w:tcPr>
          <w:p w14:paraId="604DCB6B" w14:textId="77777777" w:rsidR="00B055E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81BBF0" w14:textId="77777777" w:rsidR="00B055EB" w:rsidRDefault="00000000">
            <w:pPr>
              <w:pStyle w:val="CRCoverPage"/>
              <w:spacing w:after="0"/>
              <w:ind w:left="100"/>
              <w:rPr>
                <w:lang w:val="en-US"/>
              </w:rPr>
            </w:pPr>
            <w:r>
              <w:rPr>
                <w:rFonts w:hint="eastAsia"/>
                <w:lang w:val="en-US" w:eastAsia="zh-CN"/>
              </w:rPr>
              <w:t xml:space="preserve">Enhancements </w:t>
            </w:r>
            <w:r>
              <w:rPr>
                <w:rFonts w:eastAsia="宋体" w:hint="eastAsia"/>
                <w:lang w:val="en-US" w:eastAsia="zh-CN"/>
              </w:rPr>
              <w:t>on provision of dynamic change in traffic characteristics</w:t>
            </w:r>
            <w:r>
              <w:rPr>
                <w:rFonts w:hint="eastAsia"/>
                <w:lang w:val="en-US" w:eastAsia="zh-CN"/>
              </w:rPr>
              <w:t xml:space="preserve"> for KI#5.</w:t>
            </w:r>
          </w:p>
        </w:tc>
      </w:tr>
      <w:tr w:rsidR="00B055EB" w14:paraId="76E0016E" w14:textId="77777777">
        <w:tc>
          <w:tcPr>
            <w:tcW w:w="2694" w:type="dxa"/>
            <w:gridSpan w:val="2"/>
            <w:tcBorders>
              <w:left w:val="single" w:sz="4" w:space="0" w:color="auto"/>
            </w:tcBorders>
          </w:tcPr>
          <w:p w14:paraId="640EA881" w14:textId="77777777" w:rsidR="00B055EB" w:rsidRDefault="00B055EB">
            <w:pPr>
              <w:pStyle w:val="CRCoverPage"/>
              <w:spacing w:after="0"/>
              <w:rPr>
                <w:b/>
                <w:i/>
                <w:sz w:val="8"/>
                <w:szCs w:val="8"/>
              </w:rPr>
            </w:pPr>
          </w:p>
        </w:tc>
        <w:tc>
          <w:tcPr>
            <w:tcW w:w="6946" w:type="dxa"/>
            <w:gridSpan w:val="9"/>
            <w:tcBorders>
              <w:right w:val="single" w:sz="4" w:space="0" w:color="auto"/>
            </w:tcBorders>
          </w:tcPr>
          <w:p w14:paraId="21633B20" w14:textId="77777777" w:rsidR="00B055EB" w:rsidRDefault="00B055EB">
            <w:pPr>
              <w:pStyle w:val="CRCoverPage"/>
              <w:spacing w:after="0"/>
              <w:rPr>
                <w:sz w:val="8"/>
                <w:szCs w:val="8"/>
              </w:rPr>
            </w:pPr>
          </w:p>
        </w:tc>
      </w:tr>
      <w:tr w:rsidR="00B055EB" w14:paraId="64E8066B" w14:textId="77777777">
        <w:tc>
          <w:tcPr>
            <w:tcW w:w="2694" w:type="dxa"/>
            <w:gridSpan w:val="2"/>
            <w:tcBorders>
              <w:left w:val="single" w:sz="4" w:space="0" w:color="auto"/>
              <w:bottom w:val="single" w:sz="4" w:space="0" w:color="auto"/>
            </w:tcBorders>
          </w:tcPr>
          <w:p w14:paraId="0AA3CBC1" w14:textId="77777777" w:rsidR="00B055E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CC6914" w14:textId="77777777" w:rsidR="00B055EB" w:rsidRDefault="00000000">
            <w:pPr>
              <w:pStyle w:val="CRCoverPage"/>
              <w:spacing w:after="0"/>
              <w:ind w:left="100"/>
              <w:rPr>
                <w:lang w:val="en-US"/>
              </w:rPr>
            </w:pPr>
            <w:r>
              <w:rPr>
                <w:rFonts w:hint="eastAsia"/>
                <w:lang w:val="en-US" w:eastAsia="zh-CN"/>
              </w:rPr>
              <w:t>The dynamic change of traffic characteristics cannot be provided to the 5G network for resource scheduling.</w:t>
            </w:r>
          </w:p>
        </w:tc>
      </w:tr>
      <w:tr w:rsidR="00B055EB" w14:paraId="2F9210A3" w14:textId="77777777">
        <w:tc>
          <w:tcPr>
            <w:tcW w:w="2694" w:type="dxa"/>
            <w:gridSpan w:val="2"/>
          </w:tcPr>
          <w:p w14:paraId="344B3520" w14:textId="77777777" w:rsidR="00B055EB" w:rsidRDefault="00B055EB">
            <w:pPr>
              <w:pStyle w:val="CRCoverPage"/>
              <w:spacing w:after="0"/>
              <w:rPr>
                <w:b/>
                <w:i/>
                <w:sz w:val="8"/>
                <w:szCs w:val="8"/>
              </w:rPr>
            </w:pPr>
          </w:p>
        </w:tc>
        <w:tc>
          <w:tcPr>
            <w:tcW w:w="6946" w:type="dxa"/>
            <w:gridSpan w:val="9"/>
          </w:tcPr>
          <w:p w14:paraId="4441E8F0" w14:textId="77777777" w:rsidR="00B055EB" w:rsidRDefault="00B055EB">
            <w:pPr>
              <w:pStyle w:val="CRCoverPage"/>
              <w:spacing w:after="0"/>
              <w:rPr>
                <w:sz w:val="8"/>
                <w:szCs w:val="8"/>
              </w:rPr>
            </w:pPr>
          </w:p>
        </w:tc>
      </w:tr>
      <w:tr w:rsidR="00B055EB" w14:paraId="6AF71A06" w14:textId="77777777">
        <w:tc>
          <w:tcPr>
            <w:tcW w:w="2694" w:type="dxa"/>
            <w:gridSpan w:val="2"/>
            <w:tcBorders>
              <w:top w:val="single" w:sz="4" w:space="0" w:color="auto"/>
              <w:left w:val="single" w:sz="4" w:space="0" w:color="auto"/>
            </w:tcBorders>
          </w:tcPr>
          <w:p w14:paraId="119501B4" w14:textId="77777777" w:rsidR="00B055E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6F0A9E" w14:textId="77777777" w:rsidR="00B055EB" w:rsidRDefault="00000000">
            <w:pPr>
              <w:pStyle w:val="CRCoverPage"/>
              <w:spacing w:after="0"/>
              <w:ind w:left="100"/>
              <w:rPr>
                <w:rFonts w:eastAsia="宋体"/>
                <w:lang w:val="en-US" w:eastAsia="zh-CN"/>
              </w:rPr>
            </w:pPr>
            <w:r>
              <w:rPr>
                <w:rFonts w:eastAsia="宋体" w:hint="eastAsia"/>
                <w:lang w:val="en-US" w:eastAsia="zh-CN"/>
              </w:rPr>
              <w:t>5.8.5.4, 5.37.1, 5.37.8</w:t>
            </w:r>
          </w:p>
        </w:tc>
      </w:tr>
      <w:tr w:rsidR="00B055EB" w14:paraId="40FEF880" w14:textId="77777777">
        <w:tc>
          <w:tcPr>
            <w:tcW w:w="2694" w:type="dxa"/>
            <w:gridSpan w:val="2"/>
            <w:tcBorders>
              <w:left w:val="single" w:sz="4" w:space="0" w:color="auto"/>
            </w:tcBorders>
          </w:tcPr>
          <w:p w14:paraId="24AE5516" w14:textId="77777777" w:rsidR="00B055EB" w:rsidRDefault="00B055EB">
            <w:pPr>
              <w:pStyle w:val="CRCoverPage"/>
              <w:spacing w:after="0"/>
              <w:rPr>
                <w:b/>
                <w:i/>
                <w:sz w:val="8"/>
                <w:szCs w:val="8"/>
              </w:rPr>
            </w:pPr>
          </w:p>
        </w:tc>
        <w:tc>
          <w:tcPr>
            <w:tcW w:w="6946" w:type="dxa"/>
            <w:gridSpan w:val="9"/>
            <w:tcBorders>
              <w:right w:val="single" w:sz="4" w:space="0" w:color="auto"/>
            </w:tcBorders>
          </w:tcPr>
          <w:p w14:paraId="4F02FF0A" w14:textId="77777777" w:rsidR="00B055EB" w:rsidRDefault="00B055EB">
            <w:pPr>
              <w:pStyle w:val="CRCoverPage"/>
              <w:spacing w:after="0"/>
              <w:rPr>
                <w:sz w:val="8"/>
                <w:szCs w:val="8"/>
              </w:rPr>
            </w:pPr>
          </w:p>
        </w:tc>
      </w:tr>
      <w:tr w:rsidR="00B055EB" w14:paraId="4D6D37E0" w14:textId="77777777">
        <w:tc>
          <w:tcPr>
            <w:tcW w:w="2694" w:type="dxa"/>
            <w:gridSpan w:val="2"/>
            <w:tcBorders>
              <w:left w:val="single" w:sz="4" w:space="0" w:color="auto"/>
            </w:tcBorders>
          </w:tcPr>
          <w:p w14:paraId="1090267D" w14:textId="77777777" w:rsidR="00B055EB" w:rsidRDefault="00B055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2130AD" w14:textId="77777777" w:rsidR="00B055E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51737" w14:textId="77777777" w:rsidR="00B055EB" w:rsidRDefault="00000000">
            <w:pPr>
              <w:pStyle w:val="CRCoverPage"/>
              <w:spacing w:after="0"/>
              <w:jc w:val="center"/>
              <w:rPr>
                <w:b/>
                <w:caps/>
              </w:rPr>
            </w:pPr>
            <w:r>
              <w:rPr>
                <w:b/>
                <w:caps/>
              </w:rPr>
              <w:t>N</w:t>
            </w:r>
          </w:p>
        </w:tc>
        <w:tc>
          <w:tcPr>
            <w:tcW w:w="2977" w:type="dxa"/>
            <w:gridSpan w:val="4"/>
          </w:tcPr>
          <w:p w14:paraId="0C6885EE" w14:textId="77777777" w:rsidR="00B055EB" w:rsidRDefault="00B055EB">
            <w:pPr>
              <w:pStyle w:val="CRCoverPage"/>
              <w:tabs>
                <w:tab w:val="right" w:pos="2893"/>
              </w:tabs>
              <w:spacing w:after="0"/>
            </w:pPr>
          </w:p>
        </w:tc>
        <w:tc>
          <w:tcPr>
            <w:tcW w:w="3401" w:type="dxa"/>
            <w:gridSpan w:val="3"/>
            <w:tcBorders>
              <w:right w:val="single" w:sz="4" w:space="0" w:color="auto"/>
            </w:tcBorders>
            <w:shd w:val="clear" w:color="FFFF00" w:fill="auto"/>
          </w:tcPr>
          <w:p w14:paraId="20E6B2FC" w14:textId="77777777" w:rsidR="00B055EB" w:rsidRDefault="00B055EB">
            <w:pPr>
              <w:pStyle w:val="CRCoverPage"/>
              <w:spacing w:after="0"/>
              <w:ind w:left="99"/>
            </w:pPr>
          </w:p>
        </w:tc>
      </w:tr>
      <w:tr w:rsidR="001D4302" w14:paraId="00BFB15A" w14:textId="77777777">
        <w:tc>
          <w:tcPr>
            <w:tcW w:w="2694" w:type="dxa"/>
            <w:gridSpan w:val="2"/>
            <w:tcBorders>
              <w:left w:val="single" w:sz="4" w:space="0" w:color="auto"/>
            </w:tcBorders>
          </w:tcPr>
          <w:p w14:paraId="72056D68" w14:textId="77777777" w:rsidR="001D4302" w:rsidRDefault="001D4302" w:rsidP="001D43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43113C" w14:textId="77777777" w:rsidR="001D4302" w:rsidRDefault="001D4302" w:rsidP="001D43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91EB7" w14:textId="7F142402" w:rsidR="001D4302" w:rsidRDefault="001D4302" w:rsidP="001D4302">
            <w:pPr>
              <w:pStyle w:val="CRCoverPage"/>
              <w:spacing w:after="0"/>
              <w:jc w:val="center"/>
              <w:rPr>
                <w:b/>
                <w:caps/>
              </w:rPr>
            </w:pPr>
            <w:r>
              <w:rPr>
                <w:b/>
                <w:caps/>
                <w:noProof/>
              </w:rPr>
              <w:t>X</w:t>
            </w:r>
          </w:p>
        </w:tc>
        <w:tc>
          <w:tcPr>
            <w:tcW w:w="2977" w:type="dxa"/>
            <w:gridSpan w:val="4"/>
          </w:tcPr>
          <w:p w14:paraId="581C05E1" w14:textId="77777777" w:rsidR="001D4302" w:rsidRDefault="001D4302" w:rsidP="001D43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1A79CE" w14:textId="77777777" w:rsidR="001D4302" w:rsidRDefault="001D4302" w:rsidP="001D4302">
            <w:pPr>
              <w:pStyle w:val="CRCoverPage"/>
              <w:spacing w:after="0"/>
              <w:ind w:left="99"/>
            </w:pPr>
            <w:r>
              <w:t xml:space="preserve">TS/TR ... CR ... </w:t>
            </w:r>
          </w:p>
        </w:tc>
      </w:tr>
      <w:tr w:rsidR="001D4302" w14:paraId="1C2B4D11" w14:textId="77777777">
        <w:tc>
          <w:tcPr>
            <w:tcW w:w="2694" w:type="dxa"/>
            <w:gridSpan w:val="2"/>
            <w:tcBorders>
              <w:left w:val="single" w:sz="4" w:space="0" w:color="auto"/>
            </w:tcBorders>
          </w:tcPr>
          <w:p w14:paraId="5503712E" w14:textId="77777777" w:rsidR="001D4302" w:rsidRDefault="001D4302" w:rsidP="001D43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19E75B" w14:textId="77777777" w:rsidR="001D4302" w:rsidRDefault="001D4302" w:rsidP="001D43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D2D60" w14:textId="42B66AF8" w:rsidR="001D4302" w:rsidRDefault="001D4302" w:rsidP="001D4302">
            <w:pPr>
              <w:pStyle w:val="CRCoverPage"/>
              <w:spacing w:after="0"/>
              <w:jc w:val="center"/>
              <w:rPr>
                <w:b/>
                <w:caps/>
              </w:rPr>
            </w:pPr>
            <w:r>
              <w:rPr>
                <w:b/>
                <w:caps/>
                <w:noProof/>
              </w:rPr>
              <w:t>X</w:t>
            </w:r>
          </w:p>
        </w:tc>
        <w:tc>
          <w:tcPr>
            <w:tcW w:w="2977" w:type="dxa"/>
            <w:gridSpan w:val="4"/>
          </w:tcPr>
          <w:p w14:paraId="6652B93B" w14:textId="77777777" w:rsidR="001D4302" w:rsidRDefault="001D4302" w:rsidP="001D4302">
            <w:pPr>
              <w:pStyle w:val="CRCoverPage"/>
              <w:spacing w:after="0"/>
            </w:pPr>
            <w:r>
              <w:t xml:space="preserve"> Test specifications</w:t>
            </w:r>
          </w:p>
        </w:tc>
        <w:tc>
          <w:tcPr>
            <w:tcW w:w="3401" w:type="dxa"/>
            <w:gridSpan w:val="3"/>
            <w:tcBorders>
              <w:right w:val="single" w:sz="4" w:space="0" w:color="auto"/>
            </w:tcBorders>
            <w:shd w:val="pct30" w:color="FFFF00" w:fill="auto"/>
          </w:tcPr>
          <w:p w14:paraId="0E98EF91" w14:textId="77777777" w:rsidR="001D4302" w:rsidRDefault="001D4302" w:rsidP="001D4302">
            <w:pPr>
              <w:pStyle w:val="CRCoverPage"/>
              <w:spacing w:after="0"/>
              <w:ind w:left="99"/>
            </w:pPr>
            <w:r>
              <w:t xml:space="preserve">TS/TR ... CR ... </w:t>
            </w:r>
          </w:p>
        </w:tc>
      </w:tr>
      <w:tr w:rsidR="001D4302" w14:paraId="70226D9C" w14:textId="77777777">
        <w:tc>
          <w:tcPr>
            <w:tcW w:w="2694" w:type="dxa"/>
            <w:gridSpan w:val="2"/>
            <w:tcBorders>
              <w:left w:val="single" w:sz="4" w:space="0" w:color="auto"/>
            </w:tcBorders>
          </w:tcPr>
          <w:p w14:paraId="44385247" w14:textId="77777777" w:rsidR="001D4302" w:rsidRDefault="001D4302" w:rsidP="001D43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B9441C" w14:textId="77777777" w:rsidR="001D4302" w:rsidRDefault="001D4302" w:rsidP="001D43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6C99A" w14:textId="6B328AE0" w:rsidR="001D4302" w:rsidRDefault="001D4302" w:rsidP="001D4302">
            <w:pPr>
              <w:pStyle w:val="CRCoverPage"/>
              <w:spacing w:after="0"/>
              <w:jc w:val="center"/>
              <w:rPr>
                <w:b/>
                <w:caps/>
              </w:rPr>
            </w:pPr>
            <w:r>
              <w:rPr>
                <w:b/>
                <w:caps/>
                <w:noProof/>
              </w:rPr>
              <w:t>X</w:t>
            </w:r>
          </w:p>
        </w:tc>
        <w:tc>
          <w:tcPr>
            <w:tcW w:w="2977" w:type="dxa"/>
            <w:gridSpan w:val="4"/>
          </w:tcPr>
          <w:p w14:paraId="0520F436" w14:textId="77777777" w:rsidR="001D4302" w:rsidRDefault="001D4302" w:rsidP="001D4302">
            <w:pPr>
              <w:pStyle w:val="CRCoverPage"/>
              <w:spacing w:after="0"/>
            </w:pPr>
            <w:r>
              <w:t xml:space="preserve"> O&amp;M Specifications</w:t>
            </w:r>
          </w:p>
        </w:tc>
        <w:tc>
          <w:tcPr>
            <w:tcW w:w="3401" w:type="dxa"/>
            <w:gridSpan w:val="3"/>
            <w:tcBorders>
              <w:right w:val="single" w:sz="4" w:space="0" w:color="auto"/>
            </w:tcBorders>
            <w:shd w:val="pct30" w:color="FFFF00" w:fill="auto"/>
          </w:tcPr>
          <w:p w14:paraId="5C45783C" w14:textId="77777777" w:rsidR="001D4302" w:rsidRDefault="001D4302" w:rsidP="001D4302">
            <w:pPr>
              <w:pStyle w:val="CRCoverPage"/>
              <w:spacing w:after="0"/>
              <w:ind w:left="99"/>
            </w:pPr>
            <w:r>
              <w:t xml:space="preserve">TS/TR ... CR ... </w:t>
            </w:r>
          </w:p>
        </w:tc>
      </w:tr>
      <w:tr w:rsidR="001D4302" w14:paraId="3C602C41" w14:textId="77777777">
        <w:tc>
          <w:tcPr>
            <w:tcW w:w="2694" w:type="dxa"/>
            <w:gridSpan w:val="2"/>
            <w:tcBorders>
              <w:left w:val="single" w:sz="4" w:space="0" w:color="auto"/>
            </w:tcBorders>
          </w:tcPr>
          <w:p w14:paraId="73D3F560" w14:textId="77777777" w:rsidR="001D4302" w:rsidRDefault="001D4302" w:rsidP="001D4302">
            <w:pPr>
              <w:pStyle w:val="CRCoverPage"/>
              <w:spacing w:after="0"/>
              <w:rPr>
                <w:b/>
                <w:i/>
              </w:rPr>
            </w:pPr>
          </w:p>
        </w:tc>
        <w:tc>
          <w:tcPr>
            <w:tcW w:w="6946" w:type="dxa"/>
            <w:gridSpan w:val="9"/>
            <w:tcBorders>
              <w:right w:val="single" w:sz="4" w:space="0" w:color="auto"/>
            </w:tcBorders>
          </w:tcPr>
          <w:p w14:paraId="25795FE2" w14:textId="77777777" w:rsidR="001D4302" w:rsidRDefault="001D4302" w:rsidP="001D4302">
            <w:pPr>
              <w:pStyle w:val="CRCoverPage"/>
              <w:spacing w:after="0"/>
            </w:pPr>
          </w:p>
        </w:tc>
      </w:tr>
      <w:tr w:rsidR="001D4302" w14:paraId="0C504292" w14:textId="77777777">
        <w:tc>
          <w:tcPr>
            <w:tcW w:w="2694" w:type="dxa"/>
            <w:gridSpan w:val="2"/>
            <w:tcBorders>
              <w:left w:val="single" w:sz="4" w:space="0" w:color="auto"/>
              <w:bottom w:val="single" w:sz="4" w:space="0" w:color="auto"/>
            </w:tcBorders>
          </w:tcPr>
          <w:p w14:paraId="508E9A92" w14:textId="77777777" w:rsidR="001D4302" w:rsidRDefault="001D4302" w:rsidP="001D43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CCAE88" w14:textId="77777777" w:rsidR="001D4302" w:rsidRDefault="001D4302" w:rsidP="001D4302">
            <w:pPr>
              <w:pStyle w:val="CRCoverPage"/>
              <w:spacing w:after="0"/>
              <w:ind w:left="100"/>
            </w:pPr>
          </w:p>
        </w:tc>
      </w:tr>
      <w:tr w:rsidR="001D4302" w14:paraId="306E7BA9" w14:textId="77777777">
        <w:tc>
          <w:tcPr>
            <w:tcW w:w="2694" w:type="dxa"/>
            <w:gridSpan w:val="2"/>
            <w:tcBorders>
              <w:top w:val="single" w:sz="4" w:space="0" w:color="auto"/>
              <w:bottom w:val="single" w:sz="4" w:space="0" w:color="auto"/>
            </w:tcBorders>
          </w:tcPr>
          <w:p w14:paraId="7E168020" w14:textId="77777777" w:rsidR="001D4302" w:rsidRDefault="001D4302" w:rsidP="001D43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3E4875" w14:textId="77777777" w:rsidR="001D4302" w:rsidRDefault="001D4302" w:rsidP="001D4302">
            <w:pPr>
              <w:pStyle w:val="CRCoverPage"/>
              <w:spacing w:after="0"/>
              <w:ind w:left="100"/>
              <w:rPr>
                <w:sz w:val="8"/>
                <w:szCs w:val="8"/>
              </w:rPr>
            </w:pPr>
          </w:p>
        </w:tc>
      </w:tr>
      <w:tr w:rsidR="001D4302" w14:paraId="44854794" w14:textId="77777777">
        <w:tc>
          <w:tcPr>
            <w:tcW w:w="2694" w:type="dxa"/>
            <w:gridSpan w:val="2"/>
            <w:tcBorders>
              <w:top w:val="single" w:sz="4" w:space="0" w:color="auto"/>
              <w:left w:val="single" w:sz="4" w:space="0" w:color="auto"/>
              <w:bottom w:val="single" w:sz="4" w:space="0" w:color="auto"/>
            </w:tcBorders>
          </w:tcPr>
          <w:p w14:paraId="198ABCFE" w14:textId="77777777" w:rsidR="001D4302" w:rsidRDefault="001D4302" w:rsidP="001D43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11165" w14:textId="77777777" w:rsidR="001D4302" w:rsidRDefault="001D4302" w:rsidP="001D4302">
            <w:pPr>
              <w:pStyle w:val="CRCoverPage"/>
              <w:spacing w:after="0"/>
              <w:ind w:left="100"/>
            </w:pPr>
          </w:p>
        </w:tc>
      </w:tr>
    </w:tbl>
    <w:p w14:paraId="4817C438" w14:textId="77777777" w:rsidR="00B055EB" w:rsidRDefault="00B055EB">
      <w:pPr>
        <w:pStyle w:val="CRCoverPage"/>
        <w:spacing w:after="0"/>
        <w:rPr>
          <w:sz w:val="8"/>
          <w:szCs w:val="8"/>
        </w:rPr>
      </w:pPr>
    </w:p>
    <w:p w14:paraId="52CF6ECF" w14:textId="77777777" w:rsidR="00B055EB" w:rsidRDefault="00B055EB">
      <w:pPr>
        <w:sectPr w:rsidR="00B055EB">
          <w:headerReference w:type="even" r:id="rId10"/>
          <w:footnotePr>
            <w:numRestart w:val="eachSect"/>
          </w:footnotePr>
          <w:pgSz w:w="11907" w:h="16840"/>
          <w:pgMar w:top="1418" w:right="1134" w:bottom="1134" w:left="1134" w:header="680" w:footer="567" w:gutter="0"/>
          <w:cols w:space="720"/>
        </w:sectPr>
      </w:pPr>
    </w:p>
    <w:p w14:paraId="7ADAEC90" w14:textId="77777777" w:rsidR="00B055E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55202293"/>
      <w:bookmarkStart w:id="2" w:name="_Toc114572375"/>
      <w:bookmarkStart w:id="3" w:name="_Toc50134009"/>
      <w:bookmarkStart w:id="4" w:name="_Toc101265081"/>
      <w:bookmarkStart w:id="5" w:name="_Toc117226737"/>
      <w:bookmarkStart w:id="6" w:name="_Toc43388468"/>
      <w:bookmarkStart w:id="7" w:name="_Toc73625498"/>
      <w:bookmarkStart w:id="8" w:name="_Toc50130695"/>
      <w:bookmarkStart w:id="9" w:name="_Toc66703753"/>
      <w:bookmarkStart w:id="10" w:name="_Toc120259355"/>
      <w:bookmarkStart w:id="11" w:name="_Toc50134349"/>
      <w:bookmarkStart w:id="12" w:name="_Toc50548984"/>
      <w:bookmarkStart w:id="13" w:name="_Toc66701830"/>
      <w:bookmarkStart w:id="14" w:name="_Toc104479956"/>
      <w:bookmarkStart w:id="15" w:name="_Toc57366308"/>
      <w:bookmarkStart w:id="16" w:name="_Toc57209917"/>
      <w:bookmarkStart w:id="17" w:name="_Toc113265859"/>
      <w:bookmarkStart w:id="18" w:name="_Toc50557301"/>
      <w:bookmarkStart w:id="19" w:name="_Toc43735704"/>
      <w:bookmarkStart w:id="20" w:name="_Toc69883488"/>
      <w:bookmarkStart w:id="21" w:name="_Toc6669265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3BB249B2" w14:textId="77777777" w:rsidR="00B055EB" w:rsidRDefault="00000000">
      <w:pPr>
        <w:pStyle w:val="4"/>
      </w:pPr>
      <w:bookmarkStart w:id="22" w:name="_Toc170193983"/>
      <w:bookmarkStart w:id="23" w:name="_Toc170194420"/>
      <w:bookmarkStart w:id="24" w:name="_Toc1701944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5.8.5.4</w:t>
      </w:r>
      <w:r>
        <w:tab/>
        <w:t>QoS Enforcement Rule</w:t>
      </w:r>
      <w:bookmarkEnd w:id="22"/>
    </w:p>
    <w:p w14:paraId="41C21565" w14:textId="77777777" w:rsidR="00B055EB" w:rsidRDefault="00000000">
      <w:pPr>
        <w:rPr>
          <w:lang w:eastAsia="zh-CN"/>
        </w:rPr>
      </w:pPr>
      <w:r>
        <w:rPr>
          <w:lang w:eastAsia="zh-CN"/>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DBB9477" w14:textId="77777777" w:rsidR="00B055EB" w:rsidRDefault="00000000">
      <w:pPr>
        <w:pStyle w:val="TH"/>
      </w:pPr>
      <w:bookmarkStart w:id="25" w:name="_CRTable5_8_5_41"/>
      <w:r>
        <w:lastRenderedPageBreak/>
        <w:t xml:space="preserve">Table </w:t>
      </w:r>
      <w:bookmarkEnd w:id="25"/>
      <w: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B055EB" w14:paraId="25DBD728" w14:textId="77777777">
        <w:trPr>
          <w:cantSplit/>
          <w:jc w:val="center"/>
        </w:trPr>
        <w:tc>
          <w:tcPr>
            <w:tcW w:w="2603" w:type="dxa"/>
          </w:tcPr>
          <w:p w14:paraId="303B6BBA" w14:textId="77777777" w:rsidR="00B055EB" w:rsidRDefault="00000000">
            <w:pPr>
              <w:pStyle w:val="TAH"/>
            </w:pPr>
            <w:r>
              <w:lastRenderedPageBreak/>
              <w:t>Attribute</w:t>
            </w:r>
          </w:p>
        </w:tc>
        <w:tc>
          <w:tcPr>
            <w:tcW w:w="4126" w:type="dxa"/>
          </w:tcPr>
          <w:p w14:paraId="72A097E2" w14:textId="77777777" w:rsidR="00B055EB" w:rsidRDefault="00000000">
            <w:pPr>
              <w:pStyle w:val="TAH"/>
            </w:pPr>
            <w:r>
              <w:t>Description</w:t>
            </w:r>
          </w:p>
        </w:tc>
        <w:tc>
          <w:tcPr>
            <w:tcW w:w="2902" w:type="dxa"/>
          </w:tcPr>
          <w:p w14:paraId="15EFA6B9" w14:textId="77777777" w:rsidR="00B055EB" w:rsidRDefault="00000000">
            <w:pPr>
              <w:pStyle w:val="TAH"/>
            </w:pPr>
            <w:r>
              <w:t>Comment</w:t>
            </w:r>
          </w:p>
        </w:tc>
      </w:tr>
      <w:tr w:rsidR="00B055EB" w14:paraId="5CF6B0A8" w14:textId="77777777">
        <w:trPr>
          <w:cantSplit/>
          <w:jc w:val="center"/>
        </w:trPr>
        <w:tc>
          <w:tcPr>
            <w:tcW w:w="2603" w:type="dxa"/>
          </w:tcPr>
          <w:p w14:paraId="7DD9EC19" w14:textId="77777777" w:rsidR="00B055EB" w:rsidRDefault="00000000">
            <w:pPr>
              <w:pStyle w:val="TAL"/>
            </w:pPr>
            <w:r>
              <w:t>N4 Session ID</w:t>
            </w:r>
          </w:p>
        </w:tc>
        <w:tc>
          <w:tcPr>
            <w:tcW w:w="4126" w:type="dxa"/>
          </w:tcPr>
          <w:p w14:paraId="2C4381BB" w14:textId="77777777" w:rsidR="00B055EB" w:rsidRDefault="00000000">
            <w:pPr>
              <w:pStyle w:val="TAL"/>
            </w:pPr>
            <w:r>
              <w:t>Identifies the N4 session associated to this QER</w:t>
            </w:r>
          </w:p>
        </w:tc>
        <w:tc>
          <w:tcPr>
            <w:tcW w:w="2902" w:type="dxa"/>
          </w:tcPr>
          <w:p w14:paraId="34D4A625" w14:textId="77777777" w:rsidR="00B055EB" w:rsidRDefault="00B055EB">
            <w:pPr>
              <w:pStyle w:val="TAL"/>
            </w:pPr>
          </w:p>
        </w:tc>
      </w:tr>
      <w:tr w:rsidR="00B055EB" w14:paraId="2CE6F24F" w14:textId="77777777">
        <w:trPr>
          <w:cantSplit/>
          <w:jc w:val="center"/>
        </w:trPr>
        <w:tc>
          <w:tcPr>
            <w:tcW w:w="2603" w:type="dxa"/>
          </w:tcPr>
          <w:p w14:paraId="7EE4075A" w14:textId="77777777" w:rsidR="00B055EB" w:rsidRDefault="00000000">
            <w:pPr>
              <w:pStyle w:val="TAL"/>
            </w:pPr>
            <w:r>
              <w:t>Rule ID</w:t>
            </w:r>
          </w:p>
        </w:tc>
        <w:tc>
          <w:tcPr>
            <w:tcW w:w="4126" w:type="dxa"/>
          </w:tcPr>
          <w:p w14:paraId="0CFAFE3C" w14:textId="77777777" w:rsidR="00B055EB" w:rsidRDefault="00000000">
            <w:pPr>
              <w:pStyle w:val="TAL"/>
            </w:pPr>
            <w:r>
              <w:t>Unique identifier to identify this information.</w:t>
            </w:r>
          </w:p>
        </w:tc>
        <w:tc>
          <w:tcPr>
            <w:tcW w:w="2902" w:type="dxa"/>
          </w:tcPr>
          <w:p w14:paraId="13F80510" w14:textId="77777777" w:rsidR="00B055EB" w:rsidRDefault="00B055EB">
            <w:pPr>
              <w:pStyle w:val="TAL"/>
            </w:pPr>
          </w:p>
        </w:tc>
      </w:tr>
      <w:tr w:rsidR="00B055EB" w14:paraId="54975F98" w14:textId="77777777">
        <w:trPr>
          <w:cantSplit/>
          <w:jc w:val="center"/>
        </w:trPr>
        <w:tc>
          <w:tcPr>
            <w:tcW w:w="2603" w:type="dxa"/>
          </w:tcPr>
          <w:p w14:paraId="32EA7CB8" w14:textId="77777777" w:rsidR="00B055EB" w:rsidRDefault="00000000">
            <w:pPr>
              <w:pStyle w:val="TAL"/>
            </w:pPr>
            <w:r>
              <w:t>QoS Enforcement Rule correlation ID (NOTE 1)</w:t>
            </w:r>
          </w:p>
        </w:tc>
        <w:tc>
          <w:tcPr>
            <w:tcW w:w="4126" w:type="dxa"/>
          </w:tcPr>
          <w:p w14:paraId="68BF6546" w14:textId="77777777" w:rsidR="00B055EB" w:rsidRDefault="00000000">
            <w:pPr>
              <w:pStyle w:val="TAL"/>
            </w:pPr>
            <w:r>
              <w:t>An identity allowing the UP function to correlate multiple Sessions for the same UE and APN.</w:t>
            </w:r>
          </w:p>
        </w:tc>
        <w:tc>
          <w:tcPr>
            <w:tcW w:w="2902" w:type="dxa"/>
          </w:tcPr>
          <w:p w14:paraId="119D24BF" w14:textId="77777777" w:rsidR="00B055EB" w:rsidRDefault="00000000">
            <w:pPr>
              <w:pStyle w:val="TAL"/>
            </w:pPr>
            <w:r>
              <w:t>Is used to correlate QoS Enforcement Rules for APN-AMBR enforcement.</w:t>
            </w:r>
          </w:p>
        </w:tc>
      </w:tr>
      <w:tr w:rsidR="00B055EB" w14:paraId="19809955" w14:textId="77777777">
        <w:trPr>
          <w:cantSplit/>
          <w:jc w:val="center"/>
        </w:trPr>
        <w:tc>
          <w:tcPr>
            <w:tcW w:w="2603" w:type="dxa"/>
          </w:tcPr>
          <w:p w14:paraId="4E3B2A80" w14:textId="77777777" w:rsidR="00B055EB" w:rsidRDefault="00000000">
            <w:pPr>
              <w:pStyle w:val="TAL"/>
            </w:pPr>
            <w:r>
              <w:t>Gate status UL/DL</w:t>
            </w:r>
          </w:p>
        </w:tc>
        <w:tc>
          <w:tcPr>
            <w:tcW w:w="4126" w:type="dxa"/>
          </w:tcPr>
          <w:p w14:paraId="4EDA5A00" w14:textId="77777777" w:rsidR="00B055EB" w:rsidRDefault="00000000">
            <w:pPr>
              <w:pStyle w:val="TAL"/>
            </w:pPr>
            <w:r>
              <w:t>Instructs the UP function to let the flow pass or to block the flow.</w:t>
            </w:r>
          </w:p>
        </w:tc>
        <w:tc>
          <w:tcPr>
            <w:tcW w:w="2902" w:type="dxa"/>
          </w:tcPr>
          <w:p w14:paraId="29BB8240" w14:textId="77777777" w:rsidR="00B055EB" w:rsidRDefault="00000000">
            <w:pPr>
              <w:pStyle w:val="TAL"/>
            </w:pPr>
            <w:r>
              <w:t>Values are: open, close, close after measurement report (for termination action "discard").</w:t>
            </w:r>
          </w:p>
        </w:tc>
      </w:tr>
      <w:tr w:rsidR="00B055EB" w14:paraId="1F4B1A1B" w14:textId="77777777">
        <w:trPr>
          <w:cantSplit/>
          <w:jc w:val="center"/>
        </w:trPr>
        <w:tc>
          <w:tcPr>
            <w:tcW w:w="2603" w:type="dxa"/>
          </w:tcPr>
          <w:p w14:paraId="758721AD" w14:textId="77777777" w:rsidR="00B055EB" w:rsidRDefault="00000000">
            <w:pPr>
              <w:pStyle w:val="TAL"/>
            </w:pPr>
            <w:bookmarkStart w:id="26" w:name="_PERM_MCCTEMPBM_CRPT75020000___2" w:colFirst="2" w:colLast="2"/>
            <w:bookmarkStart w:id="27" w:name="_PERM_MCCTEMPBM_CRPT38860003___2" w:colFirst="2" w:colLast="2"/>
            <w:r>
              <w:t>Maximum bitrate</w:t>
            </w:r>
          </w:p>
        </w:tc>
        <w:tc>
          <w:tcPr>
            <w:tcW w:w="4126" w:type="dxa"/>
          </w:tcPr>
          <w:p w14:paraId="5C23D4D8" w14:textId="77777777" w:rsidR="00B055EB" w:rsidRDefault="00000000">
            <w:pPr>
              <w:pStyle w:val="TAL"/>
            </w:pPr>
            <w:r>
              <w:t>The uplink/downlink maximum bitrate to be enforced for the packets.</w:t>
            </w:r>
          </w:p>
        </w:tc>
        <w:tc>
          <w:tcPr>
            <w:tcW w:w="2902" w:type="dxa"/>
          </w:tcPr>
          <w:p w14:paraId="65A94AFE" w14:textId="77777777" w:rsidR="00B055EB" w:rsidRDefault="00000000">
            <w:pPr>
              <w:pStyle w:val="TAL"/>
            </w:pPr>
            <w:r>
              <w:t>This field may e.g. contain any one of:</w:t>
            </w:r>
          </w:p>
          <w:p w14:paraId="2AAEDB06" w14:textId="77777777" w:rsidR="00B055EB" w:rsidRDefault="00000000">
            <w:pPr>
              <w:pStyle w:val="TAL"/>
              <w:ind w:left="316" w:hanging="316"/>
            </w:pPr>
            <w:r>
              <w:t>-</w:t>
            </w:r>
            <w:r>
              <w:tab/>
              <w:t>APN-AMBR (for a QER that is referenced by all relevant Packet Detection Rules of all PDN Connections to an APN) (NOTE 1).</w:t>
            </w:r>
          </w:p>
          <w:p w14:paraId="11154C79" w14:textId="77777777" w:rsidR="00B055EB" w:rsidRDefault="00000000">
            <w:pPr>
              <w:pStyle w:val="TAL"/>
              <w:ind w:left="316" w:hanging="316"/>
            </w:pPr>
            <w:r>
              <w:t>-</w:t>
            </w:r>
            <w:r>
              <w:tab/>
              <w:t>Session-AMBR (for a QER that is referenced by all relevant Packet Detection Rules of the PDU Session)</w:t>
            </w:r>
          </w:p>
          <w:p w14:paraId="792388E2" w14:textId="77777777" w:rsidR="00B055EB" w:rsidRDefault="00000000">
            <w:pPr>
              <w:pStyle w:val="TAL"/>
              <w:ind w:left="316" w:hanging="316"/>
            </w:pPr>
            <w:r>
              <w:t>-</w:t>
            </w:r>
            <w:r>
              <w:tab/>
              <w:t>QoS Flow MBR (for a QER that is referenced by all Packet Detection Rules of a QoS Flow)</w:t>
            </w:r>
          </w:p>
          <w:p w14:paraId="63473884" w14:textId="77777777" w:rsidR="00B055EB" w:rsidRDefault="00000000">
            <w:pPr>
              <w:pStyle w:val="TAL"/>
              <w:ind w:left="316" w:hanging="316"/>
            </w:pPr>
            <w:r>
              <w:t>-</w:t>
            </w:r>
            <w:r>
              <w:tab/>
              <w:t>SDF MBR (for a QER that is referenced by the uplink/downlink Packet Detection Rule of a SDF)</w:t>
            </w:r>
          </w:p>
          <w:p w14:paraId="3E5007E1" w14:textId="77777777" w:rsidR="00B055EB" w:rsidRDefault="00000000">
            <w:pPr>
              <w:pStyle w:val="TAL"/>
              <w:ind w:left="316" w:hanging="316"/>
            </w:pPr>
            <w:r>
              <w:t>-</w:t>
            </w:r>
            <w:r>
              <w:tab/>
              <w:t>Bearer MBR (for a QER that is referenced by all relevant Packet Detection Rules of a bearer) (NOTE 1).</w:t>
            </w:r>
          </w:p>
        </w:tc>
      </w:tr>
      <w:tr w:rsidR="00B055EB" w14:paraId="2C984D9A" w14:textId="77777777">
        <w:trPr>
          <w:cantSplit/>
          <w:jc w:val="center"/>
        </w:trPr>
        <w:tc>
          <w:tcPr>
            <w:tcW w:w="2603" w:type="dxa"/>
          </w:tcPr>
          <w:p w14:paraId="1F354FB5" w14:textId="77777777" w:rsidR="00B055EB" w:rsidRDefault="00000000">
            <w:pPr>
              <w:pStyle w:val="TAL"/>
            </w:pPr>
            <w:bookmarkStart w:id="28" w:name="_PERM_MCCTEMPBM_CRPT38860004___2" w:colFirst="2" w:colLast="2"/>
            <w:bookmarkStart w:id="29" w:name="_PERM_MCCTEMPBM_CRPT75020001___2" w:colFirst="2" w:colLast="2"/>
            <w:bookmarkEnd w:id="26"/>
            <w:bookmarkEnd w:id="27"/>
            <w:r>
              <w:t>Guaranteed bitrate</w:t>
            </w:r>
          </w:p>
        </w:tc>
        <w:tc>
          <w:tcPr>
            <w:tcW w:w="4126" w:type="dxa"/>
          </w:tcPr>
          <w:p w14:paraId="5B3F9AAF" w14:textId="77777777" w:rsidR="00B055EB" w:rsidRDefault="00000000">
            <w:pPr>
              <w:pStyle w:val="TAL"/>
            </w:pPr>
            <w:r>
              <w:t>The uplink/downlink guaranteed bitrate authorized for the packets.</w:t>
            </w:r>
          </w:p>
        </w:tc>
        <w:tc>
          <w:tcPr>
            <w:tcW w:w="2902" w:type="dxa"/>
          </w:tcPr>
          <w:p w14:paraId="321E13CD" w14:textId="77777777" w:rsidR="00B055EB" w:rsidRDefault="00000000">
            <w:pPr>
              <w:pStyle w:val="TAL"/>
            </w:pPr>
            <w:r>
              <w:t>This field contains:</w:t>
            </w:r>
          </w:p>
          <w:p w14:paraId="46EA6C59" w14:textId="77777777" w:rsidR="00B055EB" w:rsidRDefault="00000000">
            <w:pPr>
              <w:pStyle w:val="TAL"/>
              <w:ind w:left="316" w:hanging="316"/>
            </w:pPr>
            <w:r>
              <w:t>-</w:t>
            </w:r>
            <w:r>
              <w:tab/>
              <w:t>QoS Flow GBR (for a QER that is referenced by all Packet Detection Rules of a QoS Flow)</w:t>
            </w:r>
          </w:p>
          <w:p w14:paraId="2A4B7A1C" w14:textId="77777777" w:rsidR="00B055EB" w:rsidRDefault="00000000">
            <w:pPr>
              <w:pStyle w:val="TAL"/>
              <w:ind w:left="316" w:hanging="316"/>
            </w:pPr>
            <w:r>
              <w:t>-</w:t>
            </w:r>
            <w:r>
              <w:tab/>
              <w:t>Bearer GBR (for a QER that is referenced by all relevant Packet Detection Rules of a bearer) (NOTE 1).</w:t>
            </w:r>
          </w:p>
        </w:tc>
      </w:tr>
      <w:bookmarkEnd w:id="28"/>
      <w:bookmarkEnd w:id="29"/>
      <w:tr w:rsidR="00B055EB" w14:paraId="34D40657" w14:textId="77777777">
        <w:trPr>
          <w:cantSplit/>
          <w:jc w:val="center"/>
        </w:trPr>
        <w:tc>
          <w:tcPr>
            <w:tcW w:w="2603" w:type="dxa"/>
          </w:tcPr>
          <w:p w14:paraId="69E5E715" w14:textId="77777777" w:rsidR="00B055EB" w:rsidRDefault="00000000">
            <w:pPr>
              <w:pStyle w:val="TAL"/>
            </w:pPr>
            <w:r>
              <w:t>Averaging window</w:t>
            </w:r>
          </w:p>
        </w:tc>
        <w:tc>
          <w:tcPr>
            <w:tcW w:w="4126" w:type="dxa"/>
          </w:tcPr>
          <w:p w14:paraId="33DEFE2D" w14:textId="77777777" w:rsidR="00B055EB" w:rsidRDefault="00000000">
            <w:pPr>
              <w:pStyle w:val="TAL"/>
            </w:pPr>
            <w:r>
              <w:t>The time duration over which the Maximum and Guaranteed bitrate shall be calculated.</w:t>
            </w:r>
          </w:p>
        </w:tc>
        <w:tc>
          <w:tcPr>
            <w:tcW w:w="2902" w:type="dxa"/>
          </w:tcPr>
          <w:p w14:paraId="0CC9CD42" w14:textId="77777777" w:rsidR="00B055EB" w:rsidRDefault="00000000">
            <w:pPr>
              <w:pStyle w:val="TAL"/>
            </w:pPr>
            <w:r>
              <w:t>This is for counting the packets received during the time duration.</w:t>
            </w:r>
          </w:p>
        </w:tc>
      </w:tr>
      <w:tr w:rsidR="00B055EB" w14:paraId="3DC2D696" w14:textId="77777777">
        <w:trPr>
          <w:cantSplit/>
          <w:jc w:val="center"/>
        </w:trPr>
        <w:tc>
          <w:tcPr>
            <w:tcW w:w="2603" w:type="dxa"/>
          </w:tcPr>
          <w:p w14:paraId="4503F545" w14:textId="77777777" w:rsidR="00B055EB" w:rsidRDefault="00000000">
            <w:pPr>
              <w:pStyle w:val="TAL"/>
            </w:pPr>
            <w:r>
              <w:t>Down-link flow level marking</w:t>
            </w:r>
          </w:p>
        </w:tc>
        <w:tc>
          <w:tcPr>
            <w:tcW w:w="4126" w:type="dxa"/>
          </w:tcPr>
          <w:p w14:paraId="43E544B6" w14:textId="77777777" w:rsidR="00B055EB" w:rsidRDefault="00000000">
            <w:pPr>
              <w:pStyle w:val="TAL"/>
            </w:pPr>
            <w:r>
              <w:t>Flow level packet marking in the downlink.</w:t>
            </w:r>
          </w:p>
        </w:tc>
        <w:tc>
          <w:tcPr>
            <w:tcW w:w="2902" w:type="dxa"/>
          </w:tcPr>
          <w:p w14:paraId="4D89E27E" w14:textId="77777777" w:rsidR="00B055EB" w:rsidRDefault="00000000">
            <w:pPr>
              <w:pStyle w:val="TAL"/>
            </w:pPr>
            <w:r>
              <w:t>For UPF, this is for controlling the setting of the RQI in the encapsulation header as described in clause 5.7.5.3.</w:t>
            </w:r>
          </w:p>
        </w:tc>
      </w:tr>
      <w:tr w:rsidR="00B055EB" w14:paraId="00A78E6B" w14:textId="77777777">
        <w:trPr>
          <w:cantSplit/>
          <w:jc w:val="center"/>
        </w:trPr>
        <w:tc>
          <w:tcPr>
            <w:tcW w:w="2603" w:type="dxa"/>
          </w:tcPr>
          <w:p w14:paraId="76AF1806" w14:textId="77777777" w:rsidR="00B055EB" w:rsidRDefault="00000000">
            <w:pPr>
              <w:pStyle w:val="TAL"/>
            </w:pPr>
            <w:r>
              <w:t>QoS Flow ID</w:t>
            </w:r>
          </w:p>
        </w:tc>
        <w:tc>
          <w:tcPr>
            <w:tcW w:w="4126" w:type="dxa"/>
          </w:tcPr>
          <w:p w14:paraId="36398EB9" w14:textId="77777777" w:rsidR="00B055EB" w:rsidRDefault="00000000">
            <w:pPr>
              <w:pStyle w:val="TAL"/>
            </w:pPr>
            <w:r>
              <w:t>QoS Flow ID to be inserted by the UPF.</w:t>
            </w:r>
          </w:p>
        </w:tc>
        <w:tc>
          <w:tcPr>
            <w:tcW w:w="2902" w:type="dxa"/>
          </w:tcPr>
          <w:p w14:paraId="59252273" w14:textId="77777777" w:rsidR="00B055EB" w:rsidRDefault="00000000">
            <w:pPr>
              <w:pStyle w:val="TAL"/>
            </w:pPr>
            <w:r>
              <w:t>The UPF inserts the QFI value in the tunnel header of outgoing packets.</w:t>
            </w:r>
          </w:p>
        </w:tc>
      </w:tr>
      <w:tr w:rsidR="00B055EB" w14:paraId="3FA09190" w14:textId="77777777">
        <w:trPr>
          <w:cantSplit/>
          <w:jc w:val="center"/>
        </w:trPr>
        <w:tc>
          <w:tcPr>
            <w:tcW w:w="2603" w:type="dxa"/>
          </w:tcPr>
          <w:p w14:paraId="370F3CEB" w14:textId="77777777" w:rsidR="00B055EB" w:rsidRDefault="00000000">
            <w:pPr>
              <w:pStyle w:val="TAL"/>
            </w:pPr>
            <w:r>
              <w:t>Paging Policy Indicator</w:t>
            </w:r>
          </w:p>
        </w:tc>
        <w:tc>
          <w:tcPr>
            <w:tcW w:w="4126" w:type="dxa"/>
          </w:tcPr>
          <w:p w14:paraId="5EA0D6FE" w14:textId="77777777" w:rsidR="00B055EB" w:rsidRDefault="00000000">
            <w:pPr>
              <w:pStyle w:val="TAL"/>
            </w:pPr>
            <w:r>
              <w:t>Indicates the PPI value the UPF is required to insert in outgoing packets (see clause 5.4.3.2).</w:t>
            </w:r>
          </w:p>
        </w:tc>
        <w:tc>
          <w:tcPr>
            <w:tcW w:w="2902" w:type="dxa"/>
          </w:tcPr>
          <w:p w14:paraId="5B64A87C" w14:textId="77777777" w:rsidR="00B055EB" w:rsidRDefault="00000000">
            <w:pPr>
              <w:pStyle w:val="TAL"/>
            </w:pPr>
            <w:r>
              <w:t>PPI applies only for DL traffic. The UPF inserts the PPI in the outer header of outgoing PDU.</w:t>
            </w:r>
          </w:p>
        </w:tc>
      </w:tr>
      <w:tr w:rsidR="00B055EB" w14:paraId="13E14B8E" w14:textId="77777777">
        <w:trPr>
          <w:cantSplit/>
          <w:jc w:val="center"/>
        </w:trPr>
        <w:tc>
          <w:tcPr>
            <w:tcW w:w="2603" w:type="dxa"/>
          </w:tcPr>
          <w:p w14:paraId="0DFD061A" w14:textId="77777777" w:rsidR="00B055EB" w:rsidRDefault="00000000">
            <w:pPr>
              <w:pStyle w:val="TAL"/>
            </w:pPr>
            <w:bookmarkStart w:id="30" w:name="_PERM_MCCTEMPBM_CRPT38860005___2" w:colFirst="2" w:colLast="2"/>
            <w:bookmarkStart w:id="31" w:name="_PERM_MCCTEMPBM_CRPT75020002___2" w:colFirst="2" w:colLast="2"/>
            <w:r>
              <w:lastRenderedPageBreak/>
              <w:t>Packet rate (NOTE 1)</w:t>
            </w:r>
          </w:p>
        </w:tc>
        <w:tc>
          <w:tcPr>
            <w:tcW w:w="4126" w:type="dxa"/>
          </w:tcPr>
          <w:p w14:paraId="3EDFBD2E" w14:textId="77777777" w:rsidR="00B055EB" w:rsidRDefault="00000000">
            <w:pPr>
              <w:pStyle w:val="TAL"/>
            </w:pPr>
            <w:r>
              <w:t>Number of packets per time interval to be enforced.</w:t>
            </w:r>
          </w:p>
        </w:tc>
        <w:tc>
          <w:tcPr>
            <w:tcW w:w="2902" w:type="dxa"/>
          </w:tcPr>
          <w:p w14:paraId="28696E38" w14:textId="77777777" w:rsidR="00B055EB" w:rsidRDefault="00000000">
            <w:pPr>
              <w:pStyle w:val="TAL"/>
            </w:pPr>
            <w:r>
              <w:t>This field contains any one of:</w:t>
            </w:r>
          </w:p>
          <w:p w14:paraId="6FB63262" w14:textId="77777777" w:rsidR="00B055EB" w:rsidRDefault="00000000">
            <w:pPr>
              <w:pStyle w:val="TAL"/>
              <w:ind w:left="316" w:hanging="316"/>
            </w:pPr>
            <w:r>
              <w:t>-</w:t>
            </w:r>
            <w:r>
              <w:tab/>
              <w:t xml:space="preserve">downlink packet rate for Serving PLMN Rate Control (the QER is referenced by all PDRs of the UE belonging to PDN connections using </w:t>
            </w:r>
            <w:proofErr w:type="spellStart"/>
            <w:r>
              <w:t>CIoT</w:t>
            </w:r>
            <w:proofErr w:type="spellEnd"/>
            <w:r>
              <w:t xml:space="preserve"> EPS Optimisations as described in TS 23.401 [26]).</w:t>
            </w:r>
          </w:p>
          <w:p w14:paraId="3BB7C3DA" w14:textId="77777777" w:rsidR="00B055EB" w:rsidRDefault="00000000">
            <w:pPr>
              <w:pStyle w:val="TAL"/>
              <w:ind w:left="316" w:hanging="316"/>
            </w:pPr>
            <w:r>
              <w:t>-</w:t>
            </w:r>
            <w:r>
              <w:tab/>
              <w:t xml:space="preserve">uplink/downlink packet rate for APN Rate Control (the QER is referenced by all PDRs of the UE belonging to PDN connections to the same APN using </w:t>
            </w:r>
            <w:proofErr w:type="spellStart"/>
            <w:r>
              <w:t>CIoT</w:t>
            </w:r>
            <w:proofErr w:type="spellEnd"/>
            <w:r>
              <w:t xml:space="preserve"> EPS Optimisations as described in TS 23.401 [26]).</w:t>
            </w:r>
          </w:p>
        </w:tc>
      </w:tr>
      <w:bookmarkEnd w:id="30"/>
      <w:bookmarkEnd w:id="31"/>
      <w:tr w:rsidR="00B055EB" w14:paraId="32BEFBDE" w14:textId="77777777">
        <w:trPr>
          <w:cantSplit/>
          <w:jc w:val="center"/>
        </w:trPr>
        <w:tc>
          <w:tcPr>
            <w:tcW w:w="2603" w:type="dxa"/>
          </w:tcPr>
          <w:p w14:paraId="451C3365" w14:textId="77777777" w:rsidR="00B055EB" w:rsidRDefault="00000000">
            <w:pPr>
              <w:pStyle w:val="TAL"/>
            </w:pPr>
            <w:r>
              <w:t>End of Data Burst Marking Indication</w:t>
            </w:r>
          </w:p>
        </w:tc>
        <w:tc>
          <w:tcPr>
            <w:tcW w:w="4126" w:type="dxa"/>
          </w:tcPr>
          <w:p w14:paraId="65EC74FE" w14:textId="77777777" w:rsidR="00B055EB" w:rsidRDefault="00000000">
            <w:pPr>
              <w:pStyle w:val="TAL"/>
            </w:pPr>
            <w:r>
              <w:t>Indicates to the UPF to provide an End of Data Burst indication of the last PDU of a Data burst to the NG-RAN over GTP-U</w:t>
            </w:r>
          </w:p>
        </w:tc>
        <w:tc>
          <w:tcPr>
            <w:tcW w:w="2902" w:type="dxa"/>
          </w:tcPr>
          <w:p w14:paraId="3B51232B" w14:textId="77777777" w:rsidR="00B055EB" w:rsidRDefault="00000000">
            <w:pPr>
              <w:pStyle w:val="TAL"/>
            </w:pPr>
            <w:r>
              <w:t>NG-RAN can configure UE power management schemes like connected mode DRX when UPF provides an indication of the End of Data Burst, see clause 5.37.8.3.</w:t>
            </w:r>
          </w:p>
        </w:tc>
      </w:tr>
      <w:tr w:rsidR="00B055EB" w14:paraId="3AB8C290" w14:textId="77777777">
        <w:trPr>
          <w:cantSplit/>
          <w:jc w:val="center"/>
        </w:trPr>
        <w:tc>
          <w:tcPr>
            <w:tcW w:w="2603" w:type="dxa"/>
          </w:tcPr>
          <w:p w14:paraId="63D145EB" w14:textId="77777777" w:rsidR="00B055EB" w:rsidRDefault="00000000">
            <w:pPr>
              <w:pStyle w:val="TAL"/>
            </w:pPr>
            <w:r>
              <w:t>PDU Set Information marking Indicator</w:t>
            </w:r>
          </w:p>
        </w:tc>
        <w:tc>
          <w:tcPr>
            <w:tcW w:w="4126" w:type="dxa"/>
          </w:tcPr>
          <w:p w14:paraId="6E743324" w14:textId="77777777" w:rsidR="00B055EB" w:rsidRDefault="00000000">
            <w:pPr>
              <w:pStyle w:val="TAL"/>
            </w:pPr>
            <w:r>
              <w:t>Indicates the UPF to insert PDU Set Information related to packets belonging to a PDU Set into GTP-U header.</w:t>
            </w:r>
          </w:p>
        </w:tc>
        <w:tc>
          <w:tcPr>
            <w:tcW w:w="2902" w:type="dxa"/>
          </w:tcPr>
          <w:p w14:paraId="7ADAE60F" w14:textId="77777777" w:rsidR="00B055EB" w:rsidRDefault="00000000">
            <w:pPr>
              <w:pStyle w:val="TAL"/>
            </w:pPr>
            <w:r>
              <w:t>UPF identifies PDU Sets in DL traffic and forwards PDU Set related information of each PDU to the NG-RAN over GTP-U, as described in clause 5.37.5.</w:t>
            </w:r>
          </w:p>
        </w:tc>
      </w:tr>
      <w:tr w:rsidR="00B055EB" w14:paraId="4AA232A1" w14:textId="77777777">
        <w:trPr>
          <w:cantSplit/>
          <w:jc w:val="center"/>
        </w:trPr>
        <w:tc>
          <w:tcPr>
            <w:tcW w:w="2603" w:type="dxa"/>
          </w:tcPr>
          <w:p w14:paraId="5D0CE48E" w14:textId="77777777" w:rsidR="00B055EB" w:rsidRDefault="00000000">
            <w:pPr>
              <w:pStyle w:val="TAL"/>
            </w:pPr>
            <w:r>
              <w:t>ECN marking for L4S indicator</w:t>
            </w:r>
          </w:p>
        </w:tc>
        <w:tc>
          <w:tcPr>
            <w:tcW w:w="4126" w:type="dxa"/>
          </w:tcPr>
          <w:p w14:paraId="52A8F80C" w14:textId="77777777" w:rsidR="00B055EB" w:rsidRDefault="00000000">
            <w:pPr>
              <w:pStyle w:val="TAL"/>
            </w:pPr>
            <w:r>
              <w:t>Indicates the UPF to perform ECN marking for L4S for the corresponding QoS Flow.</w:t>
            </w:r>
          </w:p>
        </w:tc>
        <w:tc>
          <w:tcPr>
            <w:tcW w:w="2902" w:type="dxa"/>
          </w:tcPr>
          <w:p w14:paraId="3740C3BE" w14:textId="77777777" w:rsidR="00B055EB" w:rsidRDefault="00000000">
            <w:pPr>
              <w:pStyle w:val="TAL"/>
            </w:pPr>
            <w:r>
              <w:t>UPF uses information sent by NG-RAN in GTP-U header extension to perform ECN marking for L4S for the corresponding direction.</w:t>
            </w:r>
          </w:p>
        </w:tc>
      </w:tr>
      <w:tr w:rsidR="00B055EB" w14:paraId="3732D54C" w14:textId="77777777">
        <w:trPr>
          <w:cantSplit/>
          <w:jc w:val="center"/>
          <w:ins w:id="32" w:author="cmcc-1" w:date="2024-07-05T17:00:00Z"/>
        </w:trPr>
        <w:tc>
          <w:tcPr>
            <w:tcW w:w="2603" w:type="dxa"/>
          </w:tcPr>
          <w:p w14:paraId="4B7D25D3" w14:textId="77777777" w:rsidR="00B055EB" w:rsidRDefault="00000000">
            <w:pPr>
              <w:pStyle w:val="TAL"/>
              <w:rPr>
                <w:ins w:id="33" w:author="cmcc-1" w:date="2024-07-05T17:00:00Z"/>
                <w:rFonts w:eastAsia="宋体"/>
                <w:lang w:val="en-US" w:eastAsia="zh-CN"/>
              </w:rPr>
            </w:pPr>
            <w:ins w:id="34" w:author="cmcc-1" w:date="2024-07-05T17:00:00Z">
              <w:r>
                <w:rPr>
                  <w:rFonts w:eastAsia="宋体" w:hint="eastAsia"/>
                  <w:lang w:val="en-US" w:eastAsia="zh-CN"/>
                </w:rPr>
                <w:t>Burst Size Indication</w:t>
              </w:r>
            </w:ins>
          </w:p>
        </w:tc>
        <w:tc>
          <w:tcPr>
            <w:tcW w:w="4126" w:type="dxa"/>
          </w:tcPr>
          <w:p w14:paraId="1B20F99B" w14:textId="3ACB29D3" w:rsidR="00B055EB" w:rsidRDefault="00000000">
            <w:pPr>
              <w:pStyle w:val="TAL"/>
              <w:rPr>
                <w:ins w:id="35" w:author="cmcc-1" w:date="2024-07-05T17:00:00Z"/>
                <w:rFonts w:eastAsia="宋体"/>
                <w:lang w:val="en-US" w:eastAsia="zh-CN"/>
              </w:rPr>
            </w:pPr>
            <w:ins w:id="36" w:author="cmcc-1" w:date="2024-07-05T17:00:00Z">
              <w:r>
                <w:rPr>
                  <w:rFonts w:eastAsia="宋体" w:hint="eastAsia"/>
                  <w:lang w:val="en-US" w:eastAsia="zh-CN"/>
                </w:rPr>
                <w:t>Indicates to the UPF to provide</w:t>
              </w:r>
            </w:ins>
            <w:ins w:id="37" w:author="CMCC-3" w:date="2024-08-09T21:40:00Z">
              <w:r w:rsidR="00CB5D4C">
                <w:rPr>
                  <w:rFonts w:eastAsia="宋体"/>
                  <w:lang w:val="en-US" w:eastAsia="zh-CN"/>
                </w:rPr>
                <w:t xml:space="preserve"> </w:t>
              </w:r>
              <w:r w:rsidR="00CB5D4C">
                <w:rPr>
                  <w:rFonts w:eastAsia="宋体" w:hint="eastAsia"/>
                  <w:lang w:val="en-US" w:eastAsia="zh-CN"/>
                </w:rPr>
                <w:t>the</w:t>
              </w:r>
            </w:ins>
            <w:ins w:id="38" w:author="cmcc-1" w:date="2024-07-05T17:00:00Z">
              <w:r>
                <w:rPr>
                  <w:rFonts w:eastAsia="宋体" w:hint="eastAsia"/>
                  <w:lang w:val="en-US" w:eastAsia="zh-CN"/>
                </w:rPr>
                <w:t xml:space="preserve"> Burst Size </w:t>
              </w:r>
            </w:ins>
            <w:ins w:id="39" w:author="CMCC-3" w:date="2024-08-09T21:40:00Z">
              <w:r w:rsidR="00CB5D4C">
                <w:rPr>
                  <w:rFonts w:eastAsia="宋体"/>
                  <w:lang w:val="en-US" w:eastAsia="zh-CN"/>
                </w:rPr>
                <w:t>in</w:t>
              </w:r>
            </w:ins>
            <w:ins w:id="40" w:author="cmcc-1" w:date="2024-07-05T17:01:00Z">
              <w:r>
                <w:rPr>
                  <w:rFonts w:eastAsia="宋体" w:hint="eastAsia"/>
                  <w:lang w:val="en-US" w:eastAsia="zh-CN"/>
                </w:rPr>
                <w:t xml:space="preserve"> the first PDU </w:t>
              </w:r>
            </w:ins>
            <w:ins w:id="41" w:author="CMCC-3" w:date="2024-08-09T21:41:00Z">
              <w:r w:rsidR="00CB5D4C">
                <w:rPr>
                  <w:rFonts w:eastAsia="宋体"/>
                  <w:lang w:val="en-US" w:eastAsia="zh-CN"/>
                </w:rPr>
                <w:t xml:space="preserve">as the start </w:t>
              </w:r>
            </w:ins>
            <w:ins w:id="42" w:author="cmcc-1" w:date="2024-07-05T17:01:00Z">
              <w:r>
                <w:rPr>
                  <w:rFonts w:eastAsia="宋体" w:hint="eastAsia"/>
                  <w:lang w:val="en-US" w:eastAsia="zh-CN"/>
                </w:rPr>
                <w:t xml:space="preserve">of a </w:t>
              </w:r>
            </w:ins>
            <w:ins w:id="43" w:author="cmcc-1" w:date="2024-08-09T10:43:00Z">
              <w:r>
                <w:rPr>
                  <w:rFonts w:eastAsia="宋体" w:hint="eastAsia"/>
                  <w:lang w:val="en-US" w:eastAsia="zh-CN"/>
                </w:rPr>
                <w:t>d</w:t>
              </w:r>
            </w:ins>
            <w:ins w:id="44" w:author="cmcc-1" w:date="2024-07-05T17:01:00Z">
              <w:r>
                <w:rPr>
                  <w:rFonts w:eastAsia="宋体" w:hint="eastAsia"/>
                  <w:lang w:val="en-US" w:eastAsia="zh-CN"/>
                </w:rPr>
                <w:t xml:space="preserve">ata </w:t>
              </w:r>
            </w:ins>
            <w:ins w:id="45" w:author="cmcc-1" w:date="2024-08-09T10:43:00Z">
              <w:r>
                <w:rPr>
                  <w:rFonts w:eastAsia="宋体" w:hint="eastAsia"/>
                  <w:lang w:val="en-US" w:eastAsia="zh-CN"/>
                </w:rPr>
                <w:t>b</w:t>
              </w:r>
            </w:ins>
            <w:ins w:id="46" w:author="cmcc-1" w:date="2024-07-05T17:01:00Z">
              <w:r>
                <w:rPr>
                  <w:rFonts w:eastAsia="宋体" w:hint="eastAsia"/>
                  <w:lang w:val="en-US" w:eastAsia="zh-CN"/>
                </w:rPr>
                <w:t>urst</w:t>
              </w:r>
            </w:ins>
            <w:ins w:id="47" w:author="cmcc-1" w:date="2024-08-09T10:43:00Z">
              <w:r>
                <w:rPr>
                  <w:rFonts w:eastAsia="宋体" w:hint="eastAsia"/>
                  <w:lang w:val="en-US" w:eastAsia="zh-CN"/>
                </w:rPr>
                <w:t xml:space="preserve"> </w:t>
              </w:r>
            </w:ins>
            <w:ins w:id="48" w:author="cmcc-1" w:date="2024-07-05T17:01:00Z">
              <w:r>
                <w:rPr>
                  <w:rFonts w:eastAsia="宋体" w:hint="eastAsia"/>
                  <w:lang w:val="en-US" w:eastAsia="zh-CN"/>
                </w:rPr>
                <w:t>to the NG-RAN in the GTP-U header.</w:t>
              </w:r>
            </w:ins>
          </w:p>
        </w:tc>
        <w:tc>
          <w:tcPr>
            <w:tcW w:w="2902" w:type="dxa"/>
          </w:tcPr>
          <w:p w14:paraId="5B145CA4" w14:textId="30FD9024" w:rsidR="00B055EB" w:rsidRDefault="00000000">
            <w:pPr>
              <w:pStyle w:val="TAL"/>
              <w:rPr>
                <w:ins w:id="49" w:author="cmcc-1" w:date="2024-07-05T17:00:00Z"/>
              </w:rPr>
            </w:pPr>
            <w:ins w:id="50" w:author="cmcc-1" w:date="2024-07-05T17:01:00Z">
              <w:r>
                <w:t xml:space="preserve">NG-RAN can configure </w:t>
              </w:r>
            </w:ins>
            <w:ins w:id="51" w:author="cmcc-1" w:date="2024-07-05T17:02:00Z">
              <w:r>
                <w:rPr>
                  <w:rFonts w:eastAsia="宋体" w:hint="eastAsia"/>
                  <w:lang w:val="en-US" w:eastAsia="zh-CN"/>
                </w:rPr>
                <w:t>radio resource scheduling</w:t>
              </w:r>
            </w:ins>
            <w:ins w:id="52" w:author="cmcc-1" w:date="2024-07-05T17:01:00Z">
              <w:r>
                <w:t xml:space="preserve"> when UPF provides an</w:t>
              </w:r>
            </w:ins>
            <w:ins w:id="53" w:author="cmcc-1" w:date="2024-07-05T17:02:00Z">
              <w:r>
                <w:rPr>
                  <w:rFonts w:eastAsia="宋体" w:hint="eastAsia"/>
                  <w:lang w:val="en-US" w:eastAsia="zh-CN"/>
                </w:rPr>
                <w:t xml:space="preserve"> Burst Size</w:t>
              </w:r>
            </w:ins>
            <w:ins w:id="54" w:author="cmcc-1" w:date="2024-07-05T17:01:00Z">
              <w:r>
                <w:t>, see clause 5.37.</w:t>
              </w:r>
            </w:ins>
            <w:ins w:id="55" w:author="cmcc-1" w:date="2024-08-09T10:09:00Z">
              <w:r>
                <w:rPr>
                  <w:rFonts w:eastAsia="宋体" w:hint="eastAsia"/>
                  <w:lang w:val="en-US" w:eastAsia="zh-CN"/>
                </w:rPr>
                <w:t>8.</w:t>
              </w:r>
            </w:ins>
            <w:ins w:id="56" w:author="cmcc-1" w:date="2024-07-05T17:02:00Z">
              <w:r>
                <w:rPr>
                  <w:rFonts w:eastAsia="宋体" w:hint="eastAsia"/>
                  <w:lang w:val="en-US" w:eastAsia="zh-CN"/>
                </w:rPr>
                <w:t>X</w:t>
              </w:r>
            </w:ins>
            <w:ins w:id="57" w:author="cmcc-1" w:date="2024-07-05T17:01:00Z">
              <w:r>
                <w:t>.</w:t>
              </w:r>
            </w:ins>
          </w:p>
        </w:tc>
      </w:tr>
    </w:tbl>
    <w:p w14:paraId="342D96A8" w14:textId="77777777" w:rsidR="00B055EB" w:rsidRDefault="00B055EB"/>
    <w:p w14:paraId="53F980E6" w14:textId="77777777" w:rsidR="00B055E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5D2D78A" w14:textId="77777777" w:rsidR="00B055EB" w:rsidRDefault="00000000">
      <w:pPr>
        <w:pStyle w:val="3"/>
      </w:pPr>
      <w:r>
        <w:t>5.37.1</w:t>
      </w:r>
      <w:r>
        <w:tab/>
        <w:t>General</w:t>
      </w:r>
      <w:bookmarkEnd w:id="23"/>
    </w:p>
    <w:p w14:paraId="24A396C3" w14:textId="77777777" w:rsidR="00B055EB" w:rsidRDefault="0000000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2DB7136" w14:textId="77777777" w:rsidR="00B055EB" w:rsidRDefault="00000000">
      <w:pPr>
        <w:pStyle w:val="B1"/>
      </w:pPr>
      <w:r>
        <w:t>-</w:t>
      </w:r>
      <w:r>
        <w:tab/>
        <w:t>The 5GS may support QoS policy control for multi-modal traffic, see clause 5.37.2.</w:t>
      </w:r>
    </w:p>
    <w:p w14:paraId="2792EB34" w14:textId="77777777" w:rsidR="00B055EB" w:rsidRDefault="00000000">
      <w:pPr>
        <w:pStyle w:val="B1"/>
      </w:pPr>
      <w:r>
        <w:t>-</w:t>
      </w:r>
      <w:r>
        <w:tab/>
        <w:t>The 5GS may support network information exposure which can be based on ECN markings for L4S, see clause 5.37.3 or 5GS exposure API, see clause 5.37.4.</w:t>
      </w:r>
    </w:p>
    <w:p w14:paraId="4A55E16A" w14:textId="77777777" w:rsidR="00B055EB" w:rsidRDefault="00000000">
      <w:pPr>
        <w:pStyle w:val="B1"/>
      </w:pPr>
      <w:r>
        <w:t>-</w:t>
      </w:r>
      <w:r>
        <w:tab/>
        <w:t>The 5GS may support PDU Set based QoS handling including PDU Set identification and marking, see clause 5.37.5.</w:t>
      </w:r>
    </w:p>
    <w:p w14:paraId="5BB569D6" w14:textId="77777777" w:rsidR="00B055EB" w:rsidRDefault="00000000">
      <w:pPr>
        <w:pStyle w:val="B1"/>
      </w:pPr>
      <w:r>
        <w:t>-</w:t>
      </w:r>
      <w:r>
        <w:tab/>
        <w:t>The 5GS may ensure that the UL and DL packets together meet the requested round trip delay and also update the delay for UL and DL considering QoS monitoring results, see clause 5.37.6.</w:t>
      </w:r>
    </w:p>
    <w:p w14:paraId="59AA17C6" w14:textId="77777777" w:rsidR="00B055EB" w:rsidRDefault="00000000">
      <w:pPr>
        <w:pStyle w:val="B1"/>
      </w:pPr>
      <w:r>
        <w:t>-</w:t>
      </w:r>
      <w:r>
        <w:tab/>
        <w:t>The 5GS may perform per-flow Packet Delay Variation (PDV) monitoring and policy control according to AF provided requirements, see clause 5.37.7.</w:t>
      </w:r>
    </w:p>
    <w:p w14:paraId="6D5EE962" w14:textId="77777777" w:rsidR="00B055EB" w:rsidRDefault="00000000">
      <w:pPr>
        <w:pStyle w:val="B1"/>
      </w:pPr>
      <w:r>
        <w:t>-</w:t>
      </w:r>
      <w:r>
        <w:tab/>
        <w:t>The 5GC may provide traffic assistance information to the NG-RAN to enable Connected mode DRX power saving</w:t>
      </w:r>
      <w:ins w:id="58" w:author="cmcc-1" w:date="2024-08-09T10:14:00Z">
        <w:r>
          <w:rPr>
            <w:rFonts w:eastAsia="宋体" w:hint="eastAsia"/>
            <w:lang w:val="en-US" w:eastAsia="zh-CN"/>
          </w:rPr>
          <w:t xml:space="preserve"> and assist </w:t>
        </w:r>
      </w:ins>
      <w:ins w:id="59" w:author="cmcc-1" w:date="2024-08-09T10:15:00Z">
        <w:r>
          <w:rPr>
            <w:rFonts w:eastAsia="宋体" w:hint="eastAsia"/>
            <w:lang w:val="en-US" w:eastAsia="zh-CN"/>
          </w:rPr>
          <w:t xml:space="preserve">configuration of the </w:t>
        </w:r>
      </w:ins>
      <w:ins w:id="60" w:author="cmcc-1" w:date="2024-08-09T10:14:00Z">
        <w:r>
          <w:rPr>
            <w:rFonts w:eastAsia="宋体" w:hint="eastAsia"/>
            <w:lang w:val="en-US" w:eastAsia="zh-CN"/>
          </w:rPr>
          <w:t xml:space="preserve">NG-RAN </w:t>
        </w:r>
      </w:ins>
      <w:ins w:id="61" w:author="cmcc-1" w:date="2024-08-09T10:15:00Z">
        <w:r>
          <w:rPr>
            <w:rFonts w:eastAsia="宋体" w:hint="eastAsia"/>
            <w:lang w:val="en-US" w:eastAsia="zh-CN"/>
          </w:rPr>
          <w:t>for data burst</w:t>
        </w:r>
      </w:ins>
      <w:r>
        <w:t>, see clause 5.37.8.</w:t>
      </w:r>
    </w:p>
    <w:p w14:paraId="6D2C485D" w14:textId="77777777" w:rsidR="00B055E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6E10A0D" w14:textId="77777777" w:rsidR="00B055EB" w:rsidRDefault="00000000">
      <w:pPr>
        <w:pStyle w:val="3"/>
        <w:rPr>
          <w:rFonts w:eastAsia="宋体"/>
          <w:lang w:val="en-US" w:eastAsia="zh-CN"/>
        </w:rPr>
      </w:pPr>
      <w:r>
        <w:t>5.37.8</w:t>
      </w:r>
      <w:r>
        <w:tab/>
        <w:t>UE power saving management</w:t>
      </w:r>
      <w:ins w:id="62" w:author="cmcc-1" w:date="2024-08-09T10:10:00Z">
        <w:r>
          <w:rPr>
            <w:rFonts w:eastAsia="宋体" w:hint="eastAsia"/>
            <w:lang w:val="en-US" w:eastAsia="zh-CN"/>
          </w:rPr>
          <w:t xml:space="preserve"> and CN assisted NG-RAN configuration for Data Burst</w:t>
        </w:r>
      </w:ins>
    </w:p>
    <w:p w14:paraId="124B6EB7" w14:textId="77777777" w:rsidR="00B055EB" w:rsidRDefault="00000000">
      <w:pPr>
        <w:pStyle w:val="4"/>
      </w:pPr>
      <w:bookmarkStart w:id="63" w:name="_Toc170194435"/>
      <w:r>
        <w:t>5.37.8.1</w:t>
      </w:r>
      <w:r>
        <w:tab/>
        <w:t>General</w:t>
      </w:r>
      <w:bookmarkEnd w:id="63"/>
    </w:p>
    <w:p w14:paraId="72E31BB9" w14:textId="77777777" w:rsidR="00B055EB" w:rsidRDefault="00000000">
      <w:r>
        <w:t>The following traffic assistance information may be provided by the CN to NG-RAN in order to configure UE power saving management scheme for connected mode DRX</w:t>
      </w:r>
      <w:ins w:id="64" w:author="cmcc-1" w:date="2024-08-09T10:23:00Z">
        <w:r>
          <w:rPr>
            <w:rFonts w:eastAsia="宋体" w:hint="eastAsia"/>
            <w:lang w:val="en-US" w:eastAsia="zh-CN"/>
          </w:rPr>
          <w:t>, as well as to assist resource sche</w:t>
        </w:r>
      </w:ins>
      <w:ins w:id="65" w:author="cmcc-1" w:date="2024-08-09T10:24:00Z">
        <w:r>
          <w:rPr>
            <w:rFonts w:eastAsia="宋体" w:hint="eastAsia"/>
            <w:lang w:val="en-US" w:eastAsia="zh-CN"/>
          </w:rPr>
          <w:t>duling</w:t>
        </w:r>
      </w:ins>
      <w:ins w:id="66" w:author="cmcc-1" w:date="2024-08-09T10:23:00Z">
        <w:r>
          <w:rPr>
            <w:rFonts w:eastAsia="宋体" w:hint="eastAsia"/>
            <w:lang w:val="en-US" w:eastAsia="zh-CN"/>
          </w:rPr>
          <w:t xml:space="preserve"> for data burst</w:t>
        </w:r>
      </w:ins>
      <w:r>
        <w:t>:</w:t>
      </w:r>
    </w:p>
    <w:p w14:paraId="0DAB7FB9" w14:textId="77777777" w:rsidR="00B055EB" w:rsidRDefault="00000000">
      <w:pPr>
        <w:pStyle w:val="B1"/>
      </w:pPr>
      <w:r>
        <w:t>-</w:t>
      </w:r>
      <w:r>
        <w:tab/>
        <w:t>UL and/or DL Periodicity;</w:t>
      </w:r>
    </w:p>
    <w:p w14:paraId="074F84E6" w14:textId="77777777" w:rsidR="00B055EB" w:rsidRDefault="00000000">
      <w:pPr>
        <w:pStyle w:val="B1"/>
      </w:pPr>
      <w:r>
        <w:t>-</w:t>
      </w:r>
      <w:r>
        <w:tab/>
        <w:t>N6 Jitter Information associated with the DL Periodicity;</w:t>
      </w:r>
    </w:p>
    <w:p w14:paraId="10AA10DF" w14:textId="77777777" w:rsidR="00B055EB" w:rsidRDefault="00000000">
      <w:pPr>
        <w:pStyle w:val="B1"/>
        <w:rPr>
          <w:ins w:id="67" w:author="cmcc-1" w:date="2024-08-09T10:21:00Z"/>
          <w:rFonts w:eastAsia="宋体"/>
          <w:lang w:val="en-US" w:eastAsia="zh-CN"/>
        </w:rPr>
      </w:pPr>
      <w:r>
        <w:t>-</w:t>
      </w:r>
      <w:r>
        <w:tab/>
        <w:t>Indication of End of Data Burst</w:t>
      </w:r>
      <w:ins w:id="68" w:author="cmcc-1" w:date="2024-08-09T10:21:00Z">
        <w:r>
          <w:rPr>
            <w:rFonts w:eastAsia="宋体" w:hint="eastAsia"/>
            <w:lang w:val="en-US" w:eastAsia="zh-CN"/>
          </w:rPr>
          <w:t>;</w:t>
        </w:r>
      </w:ins>
    </w:p>
    <w:p w14:paraId="67560005" w14:textId="2300DFB4" w:rsidR="00B055EB" w:rsidRDefault="00000000">
      <w:pPr>
        <w:pStyle w:val="B1"/>
      </w:pPr>
      <w:ins w:id="69" w:author="cmcc-1" w:date="2024-08-09T10:21:00Z">
        <w:r>
          <w:t>-</w:t>
        </w:r>
        <w:r>
          <w:tab/>
        </w:r>
      </w:ins>
      <w:ins w:id="70" w:author="cmcc-1" w:date="2024-08-09T10:22:00Z">
        <w:r>
          <w:rPr>
            <w:rFonts w:eastAsia="宋体" w:hint="eastAsia"/>
            <w:lang w:val="en-US" w:eastAsia="zh-CN"/>
          </w:rPr>
          <w:t>Burst Size</w:t>
        </w:r>
      </w:ins>
      <w:ins w:id="71" w:author="CMCC-3" w:date="2024-08-09T21:42:00Z">
        <w:r w:rsidR="00525297">
          <w:rPr>
            <w:rFonts w:eastAsia="宋体"/>
            <w:lang w:val="en-US" w:eastAsia="zh-CN"/>
          </w:rPr>
          <w:t xml:space="preserve"> of a data</w:t>
        </w:r>
      </w:ins>
      <w:ins w:id="72" w:author="CMCC-3" w:date="2024-08-09T21:43:00Z">
        <w:r w:rsidR="00525297">
          <w:rPr>
            <w:rFonts w:eastAsia="宋体"/>
            <w:lang w:val="en-US" w:eastAsia="zh-CN"/>
          </w:rPr>
          <w:t xml:space="preserve"> burst</w:t>
        </w:r>
      </w:ins>
      <w:r>
        <w:t>.</w:t>
      </w:r>
    </w:p>
    <w:p w14:paraId="694BA4D1" w14:textId="77777777" w:rsidR="00B055EB" w:rsidRDefault="00000000">
      <w:r>
        <w:t>The UL and/or DL Periodicity and N6 Jitter Information associated with the DL Periodicity are provided by the CN to NG RAN via TSCAI.</w:t>
      </w:r>
    </w:p>
    <w:p w14:paraId="15FEE070" w14:textId="77777777" w:rsidR="00B055EB" w:rsidRDefault="00000000">
      <w:pPr>
        <w:pStyle w:val="4"/>
      </w:pPr>
      <w:bookmarkStart w:id="73" w:name="_CR5_37_8_2"/>
      <w:bookmarkStart w:id="74" w:name="_Toc170194436"/>
      <w:bookmarkEnd w:id="73"/>
      <w:r>
        <w:t>5.37.8.2</w:t>
      </w:r>
      <w:r>
        <w:tab/>
        <w:t>Periodicity and N6 Jitter Information associated with Periodicity</w:t>
      </w:r>
      <w:bookmarkEnd w:id="74"/>
    </w:p>
    <w:p w14:paraId="6DF4DB7D" w14:textId="77777777" w:rsidR="00B055EB" w:rsidRDefault="00000000">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65952A17" w14:textId="77777777" w:rsidR="00B055EB" w:rsidRDefault="00000000">
      <w:pPr>
        <w:pStyle w:val="NO"/>
      </w:pPr>
      <w:r>
        <w:t>NOTE 1:</w:t>
      </w:r>
      <w:r>
        <w:tab/>
        <w:t>AF can provide the updated periodicity and 5G system can provide the updated UL/DL periodicity to NG-RAN.</w:t>
      </w:r>
    </w:p>
    <w:p w14:paraId="267CB2E9" w14:textId="77777777" w:rsidR="00B055EB" w:rsidRDefault="00000000">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18E86678" w14:textId="77777777" w:rsidR="00B055EB" w:rsidRDefault="00000000">
      <w:r>
        <w:t>Upon reception of a PCC rule with Periodicity information, the SMF determines the TSCAI and forwards it to the NG-RAN. If the PCC rule indicates to perform N6 Traffic Parameter measurements, the SMF shall request the UPF to monitor and periodically or event-triggered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26AFCA8F" w14:textId="77777777" w:rsidR="00B055EB" w:rsidRDefault="00000000">
      <w:pPr>
        <w:pStyle w:val="NO"/>
      </w:pPr>
      <w:r>
        <w:t>NOTE 2:</w:t>
      </w:r>
      <w:r>
        <w:tab/>
        <w:t>How the UPF derives the N6 jitter and periodicity (i.e. when periodicity is not provided by the AF) is implementation dependent.</w:t>
      </w:r>
    </w:p>
    <w:p w14:paraId="40FA95EF" w14:textId="77777777" w:rsidR="00B055EB" w:rsidRDefault="00000000">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6856BE53" w14:textId="77777777" w:rsidR="00B055EB" w:rsidRDefault="00000000">
      <w:pPr>
        <w:pStyle w:val="NO"/>
      </w:pPr>
      <w:r>
        <w:t>NOTE 3:</w:t>
      </w:r>
      <w:r>
        <w:tab/>
        <w:t>In order to prevent frequent updates from the UPF, the UPF sends the N6 Jitter Measurement Report periodically or only when the N6 jitter is larger than a threshold.</w:t>
      </w:r>
    </w:p>
    <w:p w14:paraId="62D06173" w14:textId="77777777" w:rsidR="00B055EB" w:rsidRDefault="00000000">
      <w:r>
        <w:t>The N6 Jitter Information associated with the DL Periodicity indicates the range of the positive or negative deviation of the arrival time of first arrived packet of a Data Burst compared to the ideal Data Burst start time which is determined based on the DL periodicity.</w:t>
      </w:r>
    </w:p>
    <w:p w14:paraId="6F3756CF" w14:textId="77777777" w:rsidR="00B055EB" w:rsidRDefault="00000000">
      <w:pPr>
        <w:pStyle w:val="4"/>
      </w:pPr>
      <w:bookmarkStart w:id="75" w:name="_CR5_37_8_3"/>
      <w:bookmarkStart w:id="76" w:name="_Toc170194437"/>
      <w:bookmarkEnd w:id="75"/>
      <w:r>
        <w:t>5.37.8.3</w:t>
      </w:r>
      <w:r>
        <w:tab/>
        <w:t>End of Data Burst Indication</w:t>
      </w:r>
      <w:bookmarkEnd w:id="76"/>
    </w:p>
    <w:p w14:paraId="390A41D4" w14:textId="77777777" w:rsidR="00B055EB" w:rsidRDefault="00000000">
      <w:r>
        <w:t>An indication of End of Data Burst may be provided to the NG-RAN by the UPF, e.g. to configure UE power management schemes like connected mode DRX.</w:t>
      </w:r>
    </w:p>
    <w:p w14:paraId="598C3AF4" w14:textId="77777777" w:rsidR="00B055EB" w:rsidRDefault="00000000">
      <w:r>
        <w:t xml:space="preserve">Based on the End of Data Burst Marking Indication in a PCC rule and/or on local operator policies, SMF should request the UPF to detect the last PDU of the data burst and mark the End of Data burst in the GTP-U header of the last PDU in </w:t>
      </w:r>
      <w:r>
        <w:lastRenderedPageBreak/>
        <w:t>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73BE93C8" w14:textId="77777777" w:rsidR="00B055EB" w:rsidRDefault="00000000">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71384422" w14:textId="77777777" w:rsidR="00B055EB" w:rsidRDefault="00000000">
      <w:pPr>
        <w:pStyle w:val="NO"/>
      </w:pPr>
      <w:r>
        <w:t>NOTE:</w:t>
      </w:r>
      <w:r>
        <w:tab/>
        <w:t>There can be some packets from the Data Burst received by NG-RAN after the PDU with End of Data Burst Indication if packets are received out of sequence.</w:t>
      </w:r>
    </w:p>
    <w:p w14:paraId="169ABC86" w14:textId="4AE46077" w:rsidR="00B055EB" w:rsidRDefault="00000000">
      <w:pPr>
        <w:pStyle w:val="4"/>
        <w:rPr>
          <w:ins w:id="77" w:author="cmcc-1" w:date="2024-07-03T18:15:00Z"/>
        </w:rPr>
      </w:pPr>
      <w:ins w:id="78" w:author="cmcc-1" w:date="2024-07-03T18:13:00Z">
        <w:r>
          <w:t>5.37.</w:t>
        </w:r>
      </w:ins>
      <w:ins w:id="79" w:author="cmcc-1" w:date="2024-08-09T10:12:00Z">
        <w:r>
          <w:rPr>
            <w:rFonts w:eastAsia="宋体" w:hint="eastAsia"/>
            <w:lang w:val="en-US" w:eastAsia="zh-CN"/>
          </w:rPr>
          <w:t>8.</w:t>
        </w:r>
      </w:ins>
      <w:ins w:id="80" w:author="cmcc-1" w:date="2024-07-03T18:13:00Z">
        <w:r>
          <w:rPr>
            <w:lang w:val="en-US" w:eastAsia="zh-CN"/>
          </w:rPr>
          <w:t>X</w:t>
        </w:r>
        <w:r>
          <w:tab/>
        </w:r>
      </w:ins>
      <w:ins w:id="81" w:author="cmcc-1" w:date="2024-08-09T10:28:00Z">
        <w:r>
          <w:rPr>
            <w:rFonts w:hint="eastAsia"/>
            <w:lang w:val="en-US" w:eastAsia="zh-CN"/>
          </w:rPr>
          <w:t>Burst Size</w:t>
        </w:r>
      </w:ins>
      <w:ins w:id="82" w:author="CMCC-3" w:date="2024-08-09T21:43:00Z">
        <w:r w:rsidR="00525297">
          <w:rPr>
            <w:lang w:val="en-US" w:eastAsia="zh-CN"/>
          </w:rPr>
          <w:t xml:space="preserve"> marking for the data burst</w:t>
        </w:r>
      </w:ins>
      <w:ins w:id="83" w:author="cmcc-1" w:date="2024-07-03T18:20:00Z">
        <w:r>
          <w:rPr>
            <w:lang w:val="en-US" w:eastAsia="zh-CN"/>
          </w:rPr>
          <w:t xml:space="preserve"> </w:t>
        </w:r>
      </w:ins>
      <w:bookmarkEnd w:id="24"/>
    </w:p>
    <w:p w14:paraId="493F1102" w14:textId="77777777" w:rsidR="00B055EB" w:rsidRDefault="00000000">
      <w:pPr>
        <w:pStyle w:val="B1"/>
        <w:ind w:left="0" w:firstLine="0"/>
        <w:rPr>
          <w:ins w:id="84" w:author="cmcc-1" w:date="2024-07-04T09:33:00Z"/>
          <w:rFonts w:eastAsia="宋体"/>
          <w:lang w:val="en-US" w:eastAsia="zh-CN"/>
        </w:rPr>
      </w:pPr>
      <w:bookmarkStart w:id="85" w:name="_CR5_37_8_1"/>
      <w:bookmarkEnd w:id="85"/>
      <w:ins w:id="86" w:author="cmcc-1" w:date="2024-07-05T16:24:00Z">
        <w:r>
          <w:rPr>
            <w:rFonts w:eastAsia="宋体" w:hint="eastAsia"/>
            <w:lang w:val="en-US" w:eastAsia="zh-CN"/>
          </w:rPr>
          <w:t xml:space="preserve">The dynamic change in traffic characteristics </w:t>
        </w:r>
      </w:ins>
      <w:ins w:id="87" w:author="cmcc-1" w:date="2024-07-05T16:34:00Z">
        <w:r>
          <w:rPr>
            <w:rFonts w:eastAsia="宋体" w:hint="eastAsia"/>
            <w:lang w:val="en-US" w:eastAsia="zh-CN"/>
          </w:rPr>
          <w:t>may be provi</w:t>
        </w:r>
      </w:ins>
      <w:ins w:id="88" w:author="cmcc-1" w:date="2024-08-09T10:25:00Z">
        <w:r>
          <w:rPr>
            <w:rFonts w:eastAsia="宋体" w:hint="eastAsia"/>
            <w:lang w:val="en-US" w:eastAsia="zh-CN"/>
          </w:rPr>
          <w:t>d</w:t>
        </w:r>
      </w:ins>
      <w:ins w:id="89" w:author="cmcc-1" w:date="2024-07-05T16:34:00Z">
        <w:r>
          <w:rPr>
            <w:rFonts w:eastAsia="宋体" w:hint="eastAsia"/>
            <w:lang w:val="en-US" w:eastAsia="zh-CN"/>
          </w:rPr>
          <w:t>ed by the CN to NG-RAN in order to assist radio resource scheduling</w:t>
        </w:r>
      </w:ins>
      <w:ins w:id="90" w:author="cmcc-1" w:date="2024-08-09T10:22:00Z">
        <w:r>
          <w:rPr>
            <w:rFonts w:eastAsia="宋体" w:hint="eastAsia"/>
            <w:lang w:val="en-US" w:eastAsia="zh-CN"/>
          </w:rPr>
          <w:t xml:space="preserve"> and configuration</w:t>
        </w:r>
      </w:ins>
      <w:ins w:id="91" w:author="cmcc-1" w:date="2024-07-05T16:34:00Z">
        <w:r>
          <w:rPr>
            <w:rFonts w:eastAsia="宋体" w:hint="eastAsia"/>
            <w:lang w:val="en-US" w:eastAsia="zh-CN"/>
          </w:rPr>
          <w:t>.</w:t>
        </w:r>
      </w:ins>
    </w:p>
    <w:p w14:paraId="137C59A3" w14:textId="70B2CBD9" w:rsidR="00B055EB" w:rsidRDefault="00000000">
      <w:pPr>
        <w:rPr>
          <w:ins w:id="92" w:author="cmcc-1" w:date="2024-07-03T18:35:00Z"/>
          <w:rFonts w:eastAsia="宋体"/>
          <w:lang w:val="en-US" w:eastAsia="zh-CN"/>
        </w:rPr>
      </w:pPr>
      <w:ins w:id="93" w:author="cmcc-1" w:date="2024-07-03T18:47:00Z">
        <w:r>
          <w:t>A</w:t>
        </w:r>
        <w:del w:id="94" w:author="CMCC-3" w:date="2024-08-09T21:44:00Z">
          <w:r w:rsidDel="00525297">
            <w:rPr>
              <w:rFonts w:eastAsia="宋体" w:hint="eastAsia"/>
              <w:lang w:val="en-US" w:eastAsia="zh-CN"/>
            </w:rPr>
            <w:delText>n</w:delText>
          </w:r>
        </w:del>
      </w:ins>
      <w:ins w:id="95" w:author="cmcc-1" w:date="2024-07-05T16:37:00Z">
        <w:r>
          <w:rPr>
            <w:rFonts w:eastAsia="宋体" w:hint="eastAsia"/>
            <w:lang w:val="en-US" w:eastAsia="zh-CN"/>
          </w:rPr>
          <w:t xml:space="preserve"> Burst Size</w:t>
        </w:r>
        <w:r>
          <w:t xml:space="preserve"> </w:t>
        </w:r>
        <w:r>
          <w:rPr>
            <w:rFonts w:eastAsia="宋体" w:hint="eastAsia"/>
            <w:lang w:val="en-US" w:eastAsia="zh-CN"/>
          </w:rPr>
          <w:t>marking</w:t>
        </w:r>
        <w:r>
          <w:t xml:space="preserve"> indication</w:t>
        </w:r>
      </w:ins>
      <w:ins w:id="96" w:author="cmcc-1" w:date="2024-07-03T18:47:00Z">
        <w:r>
          <w:t xml:space="preserve"> may be provided to the</w:t>
        </w:r>
      </w:ins>
      <w:ins w:id="97" w:author="cmcc-1" w:date="2024-07-05T16:35:00Z">
        <w:r>
          <w:rPr>
            <w:rFonts w:eastAsia="宋体" w:hint="eastAsia"/>
            <w:lang w:val="en-US" w:eastAsia="zh-CN"/>
          </w:rPr>
          <w:t xml:space="preserve"> 5G </w:t>
        </w:r>
      </w:ins>
      <w:ins w:id="98" w:author="cmcc-1" w:date="2024-07-05T16:36:00Z">
        <w:r>
          <w:rPr>
            <w:rFonts w:eastAsia="宋体" w:hint="eastAsia"/>
            <w:lang w:val="en-US" w:eastAsia="zh-CN"/>
          </w:rPr>
          <w:t>S</w:t>
        </w:r>
      </w:ins>
      <w:ins w:id="99" w:author="cmcc-1" w:date="2024-07-05T16:35:00Z">
        <w:r>
          <w:rPr>
            <w:rFonts w:eastAsia="宋体" w:hint="eastAsia"/>
            <w:lang w:val="en-US" w:eastAsia="zh-CN"/>
          </w:rPr>
          <w:t>ystem</w:t>
        </w:r>
      </w:ins>
      <w:ins w:id="100" w:author="cmcc-1" w:date="2024-07-05T16:36:00Z">
        <w:r>
          <w:rPr>
            <w:rFonts w:eastAsia="宋体" w:hint="eastAsia"/>
            <w:lang w:val="en-US" w:eastAsia="zh-CN"/>
          </w:rPr>
          <w:t xml:space="preserve"> from AF</w:t>
        </w:r>
      </w:ins>
      <w:ins w:id="101" w:author="cmcc-1" w:date="2024-07-05T16:35:00Z">
        <w:r>
          <w:rPr>
            <w:rFonts w:eastAsia="宋体" w:hint="eastAsia"/>
            <w:lang w:val="en-US" w:eastAsia="zh-CN"/>
          </w:rPr>
          <w:t xml:space="preserve"> in the procedures of setting up or updating </w:t>
        </w:r>
      </w:ins>
      <w:ins w:id="102" w:author="cmcc-1" w:date="2024-07-05T16:36:00Z">
        <w:r>
          <w:rPr>
            <w:rFonts w:eastAsia="宋体" w:hint="eastAsia"/>
            <w:lang w:val="en-US" w:eastAsia="zh-CN"/>
          </w:rPr>
          <w:t>an AF session with QoS</w:t>
        </w:r>
      </w:ins>
      <w:ins w:id="103" w:author="cmcc-1" w:date="2024-07-03T18:47:00Z">
        <w:r>
          <w:t>.</w:t>
        </w:r>
      </w:ins>
      <w:ins w:id="104" w:author="cmcc-1" w:date="2024-07-05T16:37:00Z">
        <w:r>
          <w:rPr>
            <w:rFonts w:eastAsia="宋体" w:hint="eastAsia"/>
            <w:lang w:val="en-US" w:eastAsia="zh-CN"/>
          </w:rPr>
          <w:t xml:space="preserve"> </w:t>
        </w:r>
        <w:r>
          <w:t xml:space="preserve">The </w:t>
        </w:r>
      </w:ins>
      <w:ins w:id="105" w:author="cmcc-1" w:date="2024-07-05T16:43:00Z">
        <w:r>
          <w:rPr>
            <w:rFonts w:eastAsia="宋体" w:hint="eastAsia"/>
            <w:lang w:val="en-US" w:eastAsia="zh-CN"/>
          </w:rPr>
          <w:t>Burst Size</w:t>
        </w:r>
        <w:r>
          <w:t xml:space="preserve"> </w:t>
        </w:r>
        <w:r>
          <w:rPr>
            <w:rFonts w:eastAsia="宋体" w:hint="eastAsia"/>
            <w:lang w:val="en-US" w:eastAsia="zh-CN"/>
          </w:rPr>
          <w:t>marking</w:t>
        </w:r>
        <w:r>
          <w:t xml:space="preserve"> indication</w:t>
        </w:r>
      </w:ins>
      <w:ins w:id="106" w:author="cmcc-1" w:date="2024-07-05T16:37:00Z">
        <w:r>
          <w:t xml:space="preserve"> is provided by the AF to the PCF via NEF or directly to the PCF when the AF is trusted.</w:t>
        </w:r>
        <w:r>
          <w:rPr>
            <w:rFonts w:eastAsia="宋体" w:hint="eastAsia"/>
            <w:lang w:val="en-US" w:eastAsia="zh-CN"/>
          </w:rPr>
          <w:t xml:space="preserve"> </w:t>
        </w:r>
      </w:ins>
      <w:ins w:id="107" w:author="cmcc-1" w:date="2024-07-04T09:32:00Z">
        <w:r>
          <w:t>The PCF may use this in</w:t>
        </w:r>
        <w:proofErr w:type="spellStart"/>
        <w:r>
          <w:rPr>
            <w:rFonts w:eastAsia="宋体" w:hint="eastAsia"/>
            <w:lang w:val="en-US" w:eastAsia="zh-CN"/>
          </w:rPr>
          <w:t>dication</w:t>
        </w:r>
        <w:proofErr w:type="spellEnd"/>
        <w:r>
          <w:t xml:space="preserve"> to derive the PCC rule</w:t>
        </w:r>
        <w:r>
          <w:rPr>
            <w:rFonts w:eastAsia="宋体" w:hint="eastAsia"/>
            <w:lang w:val="en-US" w:eastAsia="zh-CN"/>
          </w:rPr>
          <w:t>.</w:t>
        </w:r>
      </w:ins>
    </w:p>
    <w:p w14:paraId="248788E0" w14:textId="25BAA58A" w:rsidR="00B055EB" w:rsidRDefault="00000000">
      <w:pPr>
        <w:rPr>
          <w:ins w:id="108" w:author="Tianji" w:date="2024-08-07T16:05:00Z"/>
        </w:rPr>
      </w:pPr>
      <w:ins w:id="109" w:author="cmcc-1" w:date="2024-07-03T18:35:00Z">
        <w:r>
          <w:rPr>
            <w:rFonts w:eastAsia="宋体" w:hint="eastAsia"/>
            <w:lang w:val="en-US" w:eastAsia="zh-CN"/>
          </w:rPr>
          <w:t>Based on the Burst Size marking indication in a PCC rule and/or</w:t>
        </w:r>
      </w:ins>
      <w:ins w:id="110" w:author="cmcc-1" w:date="2024-07-03T18:36:00Z">
        <w:r>
          <w:rPr>
            <w:rFonts w:eastAsia="宋体" w:hint="eastAsia"/>
            <w:lang w:val="en-US" w:eastAsia="zh-CN"/>
          </w:rPr>
          <w:t xml:space="preserve"> on local operator polices, SMF </w:t>
        </w:r>
        <w:del w:id="111" w:author="CMCC-3" w:date="2024-08-09T21:44:00Z">
          <w:r w:rsidDel="00525297">
            <w:rPr>
              <w:rFonts w:eastAsia="宋体" w:hint="eastAsia"/>
              <w:lang w:val="en-US" w:eastAsia="zh-CN"/>
            </w:rPr>
            <w:delText xml:space="preserve">should </w:delText>
          </w:r>
        </w:del>
        <w:r>
          <w:rPr>
            <w:rFonts w:eastAsia="宋体" w:hint="eastAsia"/>
            <w:lang w:val="en-US" w:eastAsia="zh-CN"/>
          </w:rPr>
          <w:t>request</w:t>
        </w:r>
      </w:ins>
      <w:ins w:id="112" w:author="CMCC-3" w:date="2024-08-09T21:44:00Z">
        <w:r w:rsidR="00525297">
          <w:rPr>
            <w:rFonts w:eastAsia="宋体"/>
            <w:lang w:val="en-US" w:eastAsia="zh-CN"/>
          </w:rPr>
          <w:t>s</w:t>
        </w:r>
      </w:ins>
      <w:ins w:id="113" w:author="cmcc-1" w:date="2024-07-03T18:36:00Z">
        <w:r>
          <w:rPr>
            <w:rFonts w:eastAsia="宋体" w:hint="eastAsia"/>
            <w:lang w:val="en-US" w:eastAsia="zh-CN"/>
          </w:rPr>
          <w:t xml:space="preserve"> the UPF to identify the burst size and mark the Burst Size in</w:t>
        </w:r>
      </w:ins>
      <w:ins w:id="114" w:author="cmcc-1" w:date="2024-07-03T18:37:00Z">
        <w:r>
          <w:rPr>
            <w:rFonts w:eastAsia="宋体" w:hint="eastAsia"/>
            <w:lang w:val="en-US" w:eastAsia="zh-CN"/>
          </w:rPr>
          <w:t xml:space="preserve"> the GTP-U header in downlink.</w:t>
        </w:r>
      </w:ins>
      <w:ins w:id="115" w:author="cmcc-1" w:date="2024-07-03T18:44:00Z">
        <w:r>
          <w:rPr>
            <w:rFonts w:eastAsia="宋体" w:hint="eastAsia"/>
            <w:lang w:val="en-US" w:eastAsia="zh-CN"/>
          </w:rPr>
          <w:t xml:space="preserve"> The SMF may provide </w:t>
        </w:r>
        <w:r>
          <w:t xml:space="preserve">the PSA UPF the </w:t>
        </w:r>
      </w:ins>
      <w:ins w:id="116" w:author="cmcc-1" w:date="2024-08-09T10:53:00Z">
        <w:r>
          <w:rPr>
            <w:rFonts w:eastAsia="宋体" w:hint="eastAsia"/>
            <w:lang w:val="en-US" w:eastAsia="zh-CN"/>
          </w:rPr>
          <w:t>Burst</w:t>
        </w:r>
      </w:ins>
      <w:ins w:id="117" w:author="cmcc-1" w:date="2024-07-03T18:44:00Z">
        <w:r>
          <w:t xml:space="preserve"> </w:t>
        </w:r>
        <w:r>
          <w:rPr>
            <w:rFonts w:eastAsia="宋体" w:hint="eastAsia"/>
            <w:lang w:val="en-US" w:eastAsia="zh-CN"/>
          </w:rPr>
          <w:t>Size</w:t>
        </w:r>
        <w:r>
          <w:t xml:space="preserve"> Marking </w:t>
        </w:r>
      </w:ins>
      <w:proofErr w:type="spellStart"/>
      <w:ins w:id="118" w:author="cmcc-1" w:date="2024-07-03T18:45:00Z">
        <w:r>
          <w:rPr>
            <w:rFonts w:eastAsia="宋体" w:hint="eastAsia"/>
            <w:lang w:val="en-US" w:eastAsia="zh-CN"/>
          </w:rPr>
          <w:t>i</w:t>
        </w:r>
      </w:ins>
      <w:ins w:id="119" w:author="cmcc-1" w:date="2024-07-03T18:44:00Z">
        <w:r>
          <w:t>ndication</w:t>
        </w:r>
        <w:proofErr w:type="spellEnd"/>
        <w:r>
          <w:t xml:space="preserve"> and Protocol Description used by the service data flow. </w:t>
        </w:r>
      </w:ins>
      <w:ins w:id="120" w:author="cmcc-1" w:date="2024-07-03T18:45:00Z">
        <w:r>
          <w:t>The Protocol Description may be received in the PCC rule, based on information provided by the AF or by PCF local policies as described in clause 5.37.5.1.</w:t>
        </w:r>
      </w:ins>
    </w:p>
    <w:p w14:paraId="7E9AB7DD" w14:textId="77777777" w:rsidR="00B055EB" w:rsidRDefault="00000000">
      <w:pPr>
        <w:pStyle w:val="EditorsNote"/>
        <w:rPr>
          <w:ins w:id="121" w:author="cmcc-1" w:date="2024-07-05T16:49:00Z"/>
        </w:rPr>
      </w:pPr>
      <w:ins w:id="122" w:author="cmcc-1" w:date="2024-07-05T16:49:00Z">
        <w:r>
          <w:t>Editor's note:</w:t>
        </w:r>
        <w:r>
          <w:tab/>
        </w:r>
        <w:r>
          <w:rPr>
            <w:rFonts w:eastAsia="宋体" w:hint="eastAsia"/>
            <w:lang w:val="en-US" w:eastAsia="zh-CN"/>
          </w:rPr>
          <w:t xml:space="preserve">How to specify the </w:t>
        </w:r>
      </w:ins>
      <w:ins w:id="123" w:author="cmcc-1" w:date="2024-07-05T16:50:00Z">
        <w:r>
          <w:rPr>
            <w:rFonts w:eastAsia="宋体" w:hint="eastAsia"/>
            <w:lang w:val="en-US" w:eastAsia="zh-CN"/>
          </w:rPr>
          <w:t>Burst size indication in the header extension (</w:t>
        </w:r>
      </w:ins>
      <w:ins w:id="124" w:author="cmcc-1" w:date="2024-07-05T16:51:00Z">
        <w:r>
          <w:rPr>
            <w:rFonts w:eastAsia="宋体" w:hint="eastAsia"/>
            <w:lang w:val="en-US" w:eastAsia="zh-CN"/>
          </w:rPr>
          <w:t>e.g</w:t>
        </w:r>
      </w:ins>
      <w:ins w:id="125" w:author="cmcc-1" w:date="2024-07-05T16:50:00Z">
        <w:r>
          <w:rPr>
            <w:rFonts w:eastAsia="宋体" w:hint="eastAsia"/>
            <w:lang w:val="en-US" w:eastAsia="zh-CN"/>
          </w:rPr>
          <w:t xml:space="preserve">. RTP HE) </w:t>
        </w:r>
      </w:ins>
      <w:ins w:id="126" w:author="cmcc-1" w:date="2024-07-05T16:53:00Z">
        <w:r>
          <w:rPr>
            <w:rFonts w:eastAsia="宋体" w:hint="eastAsia"/>
            <w:lang w:val="en-US" w:eastAsia="zh-CN"/>
          </w:rPr>
          <w:t>will be</w:t>
        </w:r>
      </w:ins>
      <w:ins w:id="127" w:author="cmcc-1" w:date="2024-07-05T16:51:00Z">
        <w:r>
          <w:rPr>
            <w:rFonts w:eastAsia="宋体" w:hint="eastAsia"/>
            <w:lang w:val="en-US" w:eastAsia="zh-CN"/>
          </w:rPr>
          <w:t xml:space="preserve"> based on the work in </w:t>
        </w:r>
      </w:ins>
      <w:ins w:id="128" w:author="cmcc-1" w:date="2024-07-05T16:50:00Z">
        <w:r>
          <w:rPr>
            <w:rFonts w:eastAsia="宋体" w:hint="eastAsia"/>
            <w:lang w:val="en-US" w:eastAsia="zh-CN"/>
          </w:rPr>
          <w:t>SA4</w:t>
        </w:r>
      </w:ins>
      <w:ins w:id="129" w:author="cmcc-1" w:date="2024-07-05T16:49:00Z">
        <w:r>
          <w:t>.</w:t>
        </w:r>
      </w:ins>
    </w:p>
    <w:p w14:paraId="108C85DC" w14:textId="1F0E5E10" w:rsidR="00B055EB" w:rsidRDefault="00525297">
      <w:pPr>
        <w:rPr>
          <w:ins w:id="130" w:author="Tianji" w:date="2024-08-07T16:59:00Z"/>
          <w:rFonts w:eastAsia="宋体"/>
          <w:lang w:val="en-US" w:eastAsia="zh-CN"/>
        </w:rPr>
      </w:pPr>
      <w:ins w:id="131" w:author="CMCC-3" w:date="2024-08-09T21:45:00Z">
        <w:r>
          <w:t>T</w:t>
        </w:r>
      </w:ins>
      <w:ins w:id="132" w:author="cmcc-1" w:date="2024-07-03T18:45:00Z">
        <w:r w:rsidR="00000000">
          <w:t xml:space="preserve">he UPF identifies the </w:t>
        </w:r>
      </w:ins>
      <w:ins w:id="133" w:author="cmcc-1" w:date="2024-07-03T18:46:00Z">
        <w:r w:rsidR="00000000">
          <w:rPr>
            <w:rFonts w:eastAsia="宋体"/>
            <w:lang w:val="en-US" w:eastAsia="zh-CN"/>
          </w:rPr>
          <w:t>Burst Size</w:t>
        </w:r>
      </w:ins>
      <w:ins w:id="134" w:author="cmcc-1" w:date="2024-08-09T10:26:00Z">
        <w:r w:rsidR="00000000">
          <w:rPr>
            <w:rFonts w:eastAsia="宋体" w:hint="eastAsia"/>
            <w:lang w:val="en-US" w:eastAsia="zh-CN"/>
          </w:rPr>
          <w:t xml:space="preserve"> </w:t>
        </w:r>
      </w:ins>
      <w:ins w:id="135" w:author="cmcc-1" w:date="2024-07-03T18:45:00Z">
        <w:r w:rsidR="00000000">
          <w:t>in the DL traffic based on the</w:t>
        </w:r>
      </w:ins>
      <w:ins w:id="136" w:author="cmcc-1" w:date="2024-07-03T18:46:00Z">
        <w:r w:rsidR="00000000">
          <w:rPr>
            <w:rFonts w:eastAsia="宋体" w:hint="eastAsia"/>
            <w:lang w:val="en-US" w:eastAsia="zh-CN"/>
          </w:rPr>
          <w:t xml:space="preserve"> </w:t>
        </w:r>
      </w:ins>
      <w:ins w:id="137" w:author="cmcc-1" w:date="2024-07-03T18:45:00Z">
        <w:r w:rsidR="00000000">
          <w:t xml:space="preserve">Protocol Description or UPF implementation and provides </w:t>
        </w:r>
      </w:ins>
      <w:ins w:id="138" w:author="CMCC-3" w:date="2024-08-09T21:46:00Z">
        <w:r w:rsidR="005A30EE">
          <w:t>the</w:t>
        </w:r>
      </w:ins>
      <w:ins w:id="139" w:author="cmcc-1" w:date="2024-07-03T18:45:00Z">
        <w:r w:rsidR="00000000">
          <w:t xml:space="preserve"> </w:t>
        </w:r>
      </w:ins>
      <w:ins w:id="140" w:author="cmcc-1" w:date="2024-07-03T18:46:00Z">
        <w:r w:rsidR="00000000">
          <w:rPr>
            <w:rFonts w:eastAsia="宋体" w:hint="eastAsia"/>
            <w:lang w:val="en-US" w:eastAsia="zh-CN"/>
          </w:rPr>
          <w:t>Burst Size</w:t>
        </w:r>
      </w:ins>
      <w:ins w:id="141" w:author="cmcc-1" w:date="2024-07-03T18:45:00Z">
        <w:r w:rsidR="00000000">
          <w:t xml:space="preserve"> </w:t>
        </w:r>
      </w:ins>
      <w:ins w:id="142" w:author="CMCC-3" w:date="2024-08-09T21:46:00Z">
        <w:r w:rsidR="005A30EE">
          <w:t xml:space="preserve">of the data burst </w:t>
        </w:r>
      </w:ins>
      <w:ins w:id="143" w:author="cmcc-1" w:date="2024-07-03T18:45:00Z">
        <w:r w:rsidR="00000000">
          <w:t xml:space="preserve">to the NG-RAN over GTP-U of the </w:t>
        </w:r>
      </w:ins>
      <w:ins w:id="144" w:author="cmcc-1" w:date="2024-07-03T18:46:00Z">
        <w:r w:rsidR="00000000">
          <w:rPr>
            <w:rFonts w:eastAsia="宋体"/>
            <w:lang w:val="en-US" w:eastAsia="zh-CN"/>
          </w:rPr>
          <w:t>first</w:t>
        </w:r>
      </w:ins>
      <w:ins w:id="145" w:author="cmcc-1" w:date="2024-07-03T18:45:00Z">
        <w:r w:rsidR="00000000">
          <w:t xml:space="preserve"> PDU of a </w:t>
        </w:r>
      </w:ins>
      <w:ins w:id="146" w:author="cmcc-1" w:date="2024-07-03T18:46:00Z">
        <w:r w:rsidR="00000000">
          <w:rPr>
            <w:rFonts w:eastAsia="宋体" w:hint="eastAsia"/>
            <w:lang w:val="en-US" w:eastAsia="zh-CN"/>
          </w:rPr>
          <w:t>d</w:t>
        </w:r>
      </w:ins>
      <w:proofErr w:type="spellStart"/>
      <w:ins w:id="147" w:author="cmcc-1" w:date="2024-07-03T18:45:00Z">
        <w:r w:rsidR="00000000">
          <w:t>ata</w:t>
        </w:r>
        <w:proofErr w:type="spellEnd"/>
        <w:r w:rsidR="00000000">
          <w:t xml:space="preserve"> burst</w:t>
        </w:r>
      </w:ins>
      <w:ins w:id="148" w:author="cmcc-1" w:date="2024-08-09T10:25:00Z">
        <w:r w:rsidR="00000000">
          <w:rPr>
            <w:rFonts w:eastAsia="宋体" w:hint="eastAsia"/>
            <w:lang w:val="en-US" w:eastAsia="zh-CN"/>
          </w:rPr>
          <w:t xml:space="preserve"> to indicate the start of the data burst</w:t>
        </w:r>
      </w:ins>
      <w:ins w:id="149" w:author="cmcc-1" w:date="2024-07-03T18:45:00Z">
        <w:r w:rsidR="00000000">
          <w:t>.</w:t>
        </w:r>
      </w:ins>
    </w:p>
    <w:p w14:paraId="79F80409" w14:textId="77777777" w:rsidR="00B055EB" w:rsidRDefault="00B055EB">
      <w:pPr>
        <w:rPr>
          <w:lang w:eastAsia="zh-CN"/>
        </w:rPr>
      </w:pPr>
    </w:p>
    <w:p w14:paraId="3ABFD989" w14:textId="77777777" w:rsidR="00B055E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 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 * * *</w:t>
      </w:r>
    </w:p>
    <w:p w14:paraId="6D0937CE" w14:textId="77777777" w:rsidR="00B055EB" w:rsidRDefault="00B055EB">
      <w:pPr>
        <w:rPr>
          <w:rFonts w:eastAsiaTheme="minorEastAsia"/>
        </w:rPr>
      </w:pPr>
    </w:p>
    <w:p w14:paraId="15AECE47" w14:textId="77777777" w:rsidR="00B055EB" w:rsidRDefault="00B055EB"/>
    <w:sectPr w:rsidR="00B055EB">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6BFC" w14:textId="77777777" w:rsidR="00381C44" w:rsidRDefault="00381C44">
      <w:pPr>
        <w:spacing w:after="0"/>
      </w:pPr>
      <w:r>
        <w:separator/>
      </w:r>
    </w:p>
  </w:endnote>
  <w:endnote w:type="continuationSeparator" w:id="0">
    <w:p w14:paraId="259749E2" w14:textId="77777777" w:rsidR="00381C44" w:rsidRDefault="00381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BC13" w14:textId="77777777" w:rsidR="00381C44" w:rsidRDefault="00381C44">
      <w:pPr>
        <w:spacing w:after="0"/>
      </w:pPr>
      <w:r>
        <w:separator/>
      </w:r>
    </w:p>
  </w:footnote>
  <w:footnote w:type="continuationSeparator" w:id="0">
    <w:p w14:paraId="1B2BDF62" w14:textId="77777777" w:rsidR="00381C44" w:rsidRDefault="00381C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0AB3" w14:textId="77777777" w:rsidR="00B055E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AF84" w14:textId="77777777" w:rsidR="00B055EB" w:rsidRDefault="00B055E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CA49" w14:textId="77777777" w:rsidR="00B055EB"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DB7D" w14:textId="77777777" w:rsidR="00B055EB" w:rsidRDefault="00B055E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3">
    <w15:presenceInfo w15:providerId="None" w15:userId="CMCC-3"/>
  </w15:person>
  <w15:person w15:author="Tianji">
    <w15:presenceInfo w15:providerId="None" w15:userId="Tian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6F3A6EA"/>
    <w:rsid w:val="B7DB6835"/>
    <w:rsid w:val="BDFABD1C"/>
    <w:rsid w:val="BFCD2E53"/>
    <w:rsid w:val="BFFCBD93"/>
    <w:rsid w:val="D752EA43"/>
    <w:rsid w:val="D7EFF174"/>
    <w:rsid w:val="DB374BF4"/>
    <w:rsid w:val="DD7F1D63"/>
    <w:rsid w:val="DFBB1DAD"/>
    <w:rsid w:val="DFFF3346"/>
    <w:rsid w:val="DFFF9AAF"/>
    <w:rsid w:val="E5DFD58A"/>
    <w:rsid w:val="E8B9543C"/>
    <w:rsid w:val="EFBB8B4D"/>
    <w:rsid w:val="EFFE62CA"/>
    <w:rsid w:val="F7E77FD1"/>
    <w:rsid w:val="FBEF43DE"/>
    <w:rsid w:val="FDF1511F"/>
    <w:rsid w:val="FE7EE627"/>
    <w:rsid w:val="FEAE2BC2"/>
    <w:rsid w:val="FEBEE1A3"/>
    <w:rsid w:val="FEFFB5EC"/>
    <w:rsid w:val="FFBF7761"/>
    <w:rsid w:val="FFD794E2"/>
    <w:rsid w:val="FFD842FF"/>
    <w:rsid w:val="FFFF31A6"/>
    <w:rsid w:val="FFFFE190"/>
    <w:rsid w:val="00022E4A"/>
    <w:rsid w:val="00046CC0"/>
    <w:rsid w:val="000A6394"/>
    <w:rsid w:val="000B7FED"/>
    <w:rsid w:val="000C038A"/>
    <w:rsid w:val="000C6598"/>
    <w:rsid w:val="000D44B3"/>
    <w:rsid w:val="000E0AB8"/>
    <w:rsid w:val="000E7E51"/>
    <w:rsid w:val="00145D43"/>
    <w:rsid w:val="00192C46"/>
    <w:rsid w:val="001A08B3"/>
    <w:rsid w:val="001A2CA0"/>
    <w:rsid w:val="001A7B60"/>
    <w:rsid w:val="001B52F0"/>
    <w:rsid w:val="001B7A65"/>
    <w:rsid w:val="001D4302"/>
    <w:rsid w:val="001E41F3"/>
    <w:rsid w:val="0026004D"/>
    <w:rsid w:val="002640DD"/>
    <w:rsid w:val="00275D12"/>
    <w:rsid w:val="00284FEB"/>
    <w:rsid w:val="002860C4"/>
    <w:rsid w:val="002B5741"/>
    <w:rsid w:val="002E472E"/>
    <w:rsid w:val="00305409"/>
    <w:rsid w:val="003609EF"/>
    <w:rsid w:val="0036231A"/>
    <w:rsid w:val="00374DD4"/>
    <w:rsid w:val="00381C44"/>
    <w:rsid w:val="003E1A36"/>
    <w:rsid w:val="0040640B"/>
    <w:rsid w:val="00410371"/>
    <w:rsid w:val="004242F1"/>
    <w:rsid w:val="004847D9"/>
    <w:rsid w:val="004A21A9"/>
    <w:rsid w:val="004B75B7"/>
    <w:rsid w:val="004D7C7B"/>
    <w:rsid w:val="004F684C"/>
    <w:rsid w:val="0051580D"/>
    <w:rsid w:val="00525297"/>
    <w:rsid w:val="00547111"/>
    <w:rsid w:val="00592D74"/>
    <w:rsid w:val="005A30EE"/>
    <w:rsid w:val="005E2C44"/>
    <w:rsid w:val="00621188"/>
    <w:rsid w:val="006257ED"/>
    <w:rsid w:val="00631EE3"/>
    <w:rsid w:val="00665C47"/>
    <w:rsid w:val="00695808"/>
    <w:rsid w:val="006B46FB"/>
    <w:rsid w:val="006E21FB"/>
    <w:rsid w:val="006F4464"/>
    <w:rsid w:val="007176FF"/>
    <w:rsid w:val="00792342"/>
    <w:rsid w:val="007977A8"/>
    <w:rsid w:val="007B512A"/>
    <w:rsid w:val="007C2097"/>
    <w:rsid w:val="007D6A07"/>
    <w:rsid w:val="007F7259"/>
    <w:rsid w:val="008040A8"/>
    <w:rsid w:val="00825568"/>
    <w:rsid w:val="008279FA"/>
    <w:rsid w:val="008626E7"/>
    <w:rsid w:val="00870EE7"/>
    <w:rsid w:val="008863B9"/>
    <w:rsid w:val="008A45A6"/>
    <w:rsid w:val="008F3789"/>
    <w:rsid w:val="008F686C"/>
    <w:rsid w:val="009148DE"/>
    <w:rsid w:val="00935B5F"/>
    <w:rsid w:val="00941E30"/>
    <w:rsid w:val="00954311"/>
    <w:rsid w:val="009777D9"/>
    <w:rsid w:val="00991B88"/>
    <w:rsid w:val="009A5753"/>
    <w:rsid w:val="009A579D"/>
    <w:rsid w:val="009C588D"/>
    <w:rsid w:val="009E3297"/>
    <w:rsid w:val="009F734F"/>
    <w:rsid w:val="00A246B6"/>
    <w:rsid w:val="00A47E70"/>
    <w:rsid w:val="00A50CF0"/>
    <w:rsid w:val="00A7671C"/>
    <w:rsid w:val="00AA2CBC"/>
    <w:rsid w:val="00AC5820"/>
    <w:rsid w:val="00AD1CD8"/>
    <w:rsid w:val="00B055EB"/>
    <w:rsid w:val="00B258BB"/>
    <w:rsid w:val="00B36CFE"/>
    <w:rsid w:val="00B67B97"/>
    <w:rsid w:val="00B968C8"/>
    <w:rsid w:val="00BA3EC5"/>
    <w:rsid w:val="00BA51D9"/>
    <w:rsid w:val="00BB5DFC"/>
    <w:rsid w:val="00BD279D"/>
    <w:rsid w:val="00BD6BB8"/>
    <w:rsid w:val="00C66BA2"/>
    <w:rsid w:val="00C95985"/>
    <w:rsid w:val="00CB5D4C"/>
    <w:rsid w:val="00CC10E0"/>
    <w:rsid w:val="00CC5026"/>
    <w:rsid w:val="00CC68D0"/>
    <w:rsid w:val="00D03F9A"/>
    <w:rsid w:val="00D06D51"/>
    <w:rsid w:val="00D24991"/>
    <w:rsid w:val="00D50255"/>
    <w:rsid w:val="00D66520"/>
    <w:rsid w:val="00DE34CF"/>
    <w:rsid w:val="00E13F3D"/>
    <w:rsid w:val="00E34898"/>
    <w:rsid w:val="00EB09B7"/>
    <w:rsid w:val="00EB7FE9"/>
    <w:rsid w:val="00EE7D7C"/>
    <w:rsid w:val="00F25D98"/>
    <w:rsid w:val="00F300FB"/>
    <w:rsid w:val="00F80104"/>
    <w:rsid w:val="00FB6386"/>
    <w:rsid w:val="0361060D"/>
    <w:rsid w:val="09AB52F9"/>
    <w:rsid w:val="0DA8100A"/>
    <w:rsid w:val="0F7D49AA"/>
    <w:rsid w:val="15200B35"/>
    <w:rsid w:val="16E86127"/>
    <w:rsid w:val="17FDB836"/>
    <w:rsid w:val="1ADC0421"/>
    <w:rsid w:val="1BA9E94C"/>
    <w:rsid w:val="1BDF5594"/>
    <w:rsid w:val="1F6E4870"/>
    <w:rsid w:val="2303547D"/>
    <w:rsid w:val="23DC09E4"/>
    <w:rsid w:val="26A926F3"/>
    <w:rsid w:val="346F167B"/>
    <w:rsid w:val="392A1E4D"/>
    <w:rsid w:val="395F07EE"/>
    <w:rsid w:val="3F0F288C"/>
    <w:rsid w:val="3F15515E"/>
    <w:rsid w:val="49EFF4D6"/>
    <w:rsid w:val="4BF819AD"/>
    <w:rsid w:val="4C6B1C95"/>
    <w:rsid w:val="4DFFD463"/>
    <w:rsid w:val="532A5F52"/>
    <w:rsid w:val="532D5F84"/>
    <w:rsid w:val="55EF173A"/>
    <w:rsid w:val="574C4B50"/>
    <w:rsid w:val="576FC284"/>
    <w:rsid w:val="5C772663"/>
    <w:rsid w:val="5E7D3094"/>
    <w:rsid w:val="5FAF878F"/>
    <w:rsid w:val="5FFFCBF0"/>
    <w:rsid w:val="61FF24F0"/>
    <w:rsid w:val="636F6A94"/>
    <w:rsid w:val="65FE5109"/>
    <w:rsid w:val="66E3EAA1"/>
    <w:rsid w:val="67BDB0E5"/>
    <w:rsid w:val="68C078EA"/>
    <w:rsid w:val="6EFC1D3A"/>
    <w:rsid w:val="6EFF5AF0"/>
    <w:rsid w:val="6F9D60CD"/>
    <w:rsid w:val="6FFF1A9A"/>
    <w:rsid w:val="6FFF4D18"/>
    <w:rsid w:val="70DF1913"/>
    <w:rsid w:val="7293445E"/>
    <w:rsid w:val="75CB09FE"/>
    <w:rsid w:val="76FC1282"/>
    <w:rsid w:val="7733E7D1"/>
    <w:rsid w:val="7773DC13"/>
    <w:rsid w:val="77A9E139"/>
    <w:rsid w:val="77F90354"/>
    <w:rsid w:val="7A8D259F"/>
    <w:rsid w:val="7AFE5850"/>
    <w:rsid w:val="7D360E79"/>
    <w:rsid w:val="7DEBECE2"/>
    <w:rsid w:val="7E3F30DA"/>
    <w:rsid w:val="7E9F4C72"/>
    <w:rsid w:val="7EFE3AFA"/>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97319"/>
  <w15:docId w15:val="{E117E4D7-B659-44F7-8DEA-4F64D723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631EE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2079</Words>
  <Characters>11851</Characters>
  <Application>Microsoft Office Word</Application>
  <DocSecurity>0</DocSecurity>
  <Lines>98</Lines>
  <Paragraphs>27</Paragraphs>
  <ScaleCrop>false</ScaleCrop>
  <Company>3GPP Support Team</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26</cp:revision>
  <cp:lastPrinted>1900-01-05T07:00:00Z</cp:lastPrinted>
  <dcterms:created xsi:type="dcterms:W3CDTF">2020-02-09T16:32:00Z</dcterms:created>
  <dcterms:modified xsi:type="dcterms:W3CDTF">2024-08-09T13:47:00Z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13A0CDEF546614BFBF77B5664567CDB0</vt:lpwstr>
  </property>
</Properties>
</file>